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0726" w:rsidRPr="00AF0F5C" w:rsidRDefault="005154C6" w:rsidP="007D14A8">
      <w:pPr>
        <w:pStyle w:val="TitleCover"/>
        <w:ind w:left="1296" w:right="1296"/>
        <w:rPr>
          <w:rFonts w:ascii="Times New Roman" w:hAnsi="Times New Roman"/>
          <w:sz w:val="28"/>
          <w:szCs w:val="28"/>
        </w:rPr>
      </w:pPr>
      <w:bookmarkStart w:id="0" w:name="_GoBack"/>
      <w:bookmarkEnd w:id="0"/>
      <w:r w:rsidRPr="00AF0F5C">
        <w:rPr>
          <w:rFonts w:ascii="Times New Roman" w:hAnsi="Times New Roman"/>
          <w:sz w:val="28"/>
          <w:szCs w:val="28"/>
        </w:rPr>
        <w:t xml:space="preserve">The Problems That allow </w:t>
      </w:r>
      <w:r w:rsidR="007D14A8" w:rsidRPr="00AF0F5C">
        <w:rPr>
          <w:rFonts w:ascii="Times New Roman" w:hAnsi="Times New Roman"/>
          <w:sz w:val="28"/>
          <w:szCs w:val="28"/>
        </w:rPr>
        <w:t xml:space="preserve">fraud to </w:t>
      </w:r>
      <w:r w:rsidRPr="00AF0F5C">
        <w:rPr>
          <w:rFonts w:ascii="Times New Roman" w:hAnsi="Times New Roman"/>
          <w:sz w:val="28"/>
          <w:szCs w:val="28"/>
        </w:rPr>
        <w:t>occur</w:t>
      </w:r>
    </w:p>
    <w:p w:rsidR="009E0726" w:rsidRPr="00AF0F5C" w:rsidRDefault="009E0726" w:rsidP="009E0726">
      <w:pPr>
        <w:pStyle w:val="Author"/>
        <w:rPr>
          <w:rFonts w:ascii="Times New Roman" w:hAnsi="Times New Roman"/>
          <w:sz w:val="28"/>
          <w:szCs w:val="28"/>
        </w:rPr>
      </w:pPr>
      <w:r w:rsidRPr="00AF0F5C">
        <w:rPr>
          <w:rFonts w:ascii="Times New Roman" w:hAnsi="Times New Roman"/>
          <w:sz w:val="28"/>
          <w:szCs w:val="28"/>
        </w:rPr>
        <w:t>by</w:t>
      </w:r>
    </w:p>
    <w:p w:rsidR="009E0726" w:rsidRPr="00AF0F5C" w:rsidRDefault="005154C6" w:rsidP="009E0726">
      <w:pPr>
        <w:pStyle w:val="Author"/>
        <w:rPr>
          <w:rFonts w:ascii="Times New Roman" w:hAnsi="Times New Roman"/>
          <w:sz w:val="28"/>
          <w:szCs w:val="28"/>
        </w:rPr>
      </w:pPr>
      <w:r w:rsidRPr="00AF0F5C">
        <w:rPr>
          <w:rFonts w:ascii="Times New Roman" w:hAnsi="Times New Roman"/>
          <w:sz w:val="28"/>
          <w:szCs w:val="28"/>
        </w:rPr>
        <w:t>Jameel Khader</w:t>
      </w:r>
    </w:p>
    <w:p w:rsidR="009E0726" w:rsidRPr="00AF0F5C" w:rsidRDefault="009E0726" w:rsidP="009E0726">
      <w:pPr>
        <w:pStyle w:val="SubtitleCover"/>
        <w:rPr>
          <w:rFonts w:ascii="Times New Roman" w:hAnsi="Times New Roman"/>
          <w:sz w:val="28"/>
          <w:szCs w:val="28"/>
        </w:rPr>
      </w:pPr>
      <w:r w:rsidRPr="00AF0F5C">
        <w:rPr>
          <w:rFonts w:ascii="Times New Roman" w:hAnsi="Times New Roman"/>
          <w:sz w:val="28"/>
          <w:szCs w:val="28"/>
        </w:rPr>
        <w:t>A thesis submitted in partial fulfillment of the requirements for the degree of</w:t>
      </w:r>
    </w:p>
    <w:p w:rsidR="007D14A8" w:rsidRPr="00AF0F5C" w:rsidRDefault="005154C6" w:rsidP="009E0726">
      <w:pPr>
        <w:pStyle w:val="SubtitleCover"/>
        <w:rPr>
          <w:rFonts w:ascii="Times New Roman" w:hAnsi="Times New Roman"/>
          <w:sz w:val="28"/>
          <w:szCs w:val="28"/>
        </w:rPr>
      </w:pPr>
      <w:r w:rsidRPr="00AF0F5C">
        <w:rPr>
          <w:rFonts w:ascii="Times New Roman" w:hAnsi="Times New Roman"/>
          <w:sz w:val="28"/>
          <w:szCs w:val="28"/>
        </w:rPr>
        <w:t>Bachelor</w:t>
      </w:r>
      <w:r w:rsidR="007D14A8" w:rsidRPr="00AF0F5C">
        <w:rPr>
          <w:rFonts w:ascii="Times New Roman" w:hAnsi="Times New Roman"/>
          <w:sz w:val="28"/>
          <w:szCs w:val="28"/>
        </w:rPr>
        <w:t>’s of Science in</w:t>
      </w:r>
      <w:r w:rsidRPr="00AF0F5C">
        <w:rPr>
          <w:rFonts w:ascii="Times New Roman" w:hAnsi="Times New Roman"/>
          <w:sz w:val="28"/>
          <w:szCs w:val="28"/>
        </w:rPr>
        <w:t xml:space="preserve"> Business Administration</w:t>
      </w:r>
    </w:p>
    <w:p w:rsidR="007D14A8" w:rsidRPr="00AF0F5C" w:rsidRDefault="007D14A8" w:rsidP="007D14A8">
      <w:pPr>
        <w:pStyle w:val="BodyText"/>
        <w:jc w:val="center"/>
        <w:rPr>
          <w:rFonts w:ascii="Times New Roman" w:hAnsi="Times New Roman" w:cs="Times New Roman"/>
          <w:sz w:val="28"/>
          <w:szCs w:val="28"/>
        </w:rPr>
      </w:pPr>
      <w:r w:rsidRPr="00AF0F5C">
        <w:rPr>
          <w:rFonts w:ascii="Times New Roman" w:hAnsi="Times New Roman" w:cs="Times New Roman"/>
          <w:sz w:val="28"/>
          <w:szCs w:val="28"/>
        </w:rPr>
        <w:t>Bertolon School of Business</w:t>
      </w:r>
    </w:p>
    <w:p w:rsidR="009E0726" w:rsidRPr="00AF0F5C" w:rsidRDefault="009E0726" w:rsidP="007D14A8">
      <w:pPr>
        <w:pStyle w:val="SubtitleCover"/>
        <w:spacing w:after="0"/>
        <w:rPr>
          <w:rFonts w:ascii="Times New Roman" w:hAnsi="Times New Roman"/>
          <w:sz w:val="28"/>
          <w:szCs w:val="28"/>
        </w:rPr>
      </w:pPr>
    </w:p>
    <w:p w:rsidR="007D14A8" w:rsidRPr="00AF0F5C" w:rsidRDefault="007D14A8" w:rsidP="007D14A8">
      <w:pPr>
        <w:spacing w:after="0" w:line="240" w:lineRule="auto"/>
        <w:jc w:val="center"/>
        <w:rPr>
          <w:rFonts w:ascii="Times New Roman" w:hAnsi="Times New Roman" w:cs="Times New Roman"/>
          <w:sz w:val="28"/>
          <w:szCs w:val="28"/>
        </w:rPr>
      </w:pPr>
      <w:r w:rsidRPr="00AF0F5C">
        <w:rPr>
          <w:rFonts w:ascii="Times New Roman" w:hAnsi="Times New Roman" w:cs="Times New Roman"/>
          <w:sz w:val="28"/>
          <w:szCs w:val="28"/>
        </w:rPr>
        <w:t>Norbert Tschakert, Ph.D.</w:t>
      </w:r>
    </w:p>
    <w:p w:rsidR="007D14A8" w:rsidRPr="00AF0F5C" w:rsidRDefault="007D14A8" w:rsidP="007D14A8">
      <w:pPr>
        <w:spacing w:after="0" w:line="240" w:lineRule="auto"/>
        <w:jc w:val="center"/>
        <w:rPr>
          <w:rFonts w:ascii="Times New Roman" w:hAnsi="Times New Roman" w:cs="Times New Roman"/>
          <w:sz w:val="28"/>
          <w:szCs w:val="28"/>
        </w:rPr>
      </w:pPr>
      <w:r w:rsidRPr="00AF0F5C">
        <w:rPr>
          <w:rFonts w:ascii="Times New Roman" w:hAnsi="Times New Roman" w:cs="Times New Roman"/>
          <w:sz w:val="28"/>
          <w:szCs w:val="28"/>
        </w:rPr>
        <w:t>Faculty Advisor</w:t>
      </w:r>
    </w:p>
    <w:p w:rsidR="007D14A8" w:rsidRPr="00AF0F5C" w:rsidRDefault="007D14A8" w:rsidP="007D14A8">
      <w:pPr>
        <w:spacing w:line="240" w:lineRule="auto"/>
        <w:jc w:val="center"/>
        <w:rPr>
          <w:rFonts w:ascii="Times New Roman" w:hAnsi="Times New Roman" w:cs="Times New Roman"/>
          <w:sz w:val="28"/>
          <w:szCs w:val="28"/>
        </w:rPr>
      </w:pPr>
      <w:r w:rsidRPr="00AF0F5C">
        <w:rPr>
          <w:rFonts w:ascii="Times New Roman" w:hAnsi="Times New Roman" w:cs="Times New Roman"/>
          <w:sz w:val="28"/>
          <w:szCs w:val="28"/>
        </w:rPr>
        <w:t>Accounting and Finance</w:t>
      </w:r>
    </w:p>
    <w:p w:rsidR="007D14A8" w:rsidRPr="00AF0F5C" w:rsidRDefault="007D14A8" w:rsidP="007D14A8">
      <w:pPr>
        <w:spacing w:line="240" w:lineRule="auto"/>
        <w:jc w:val="center"/>
        <w:rPr>
          <w:rFonts w:ascii="Times New Roman" w:hAnsi="Times New Roman" w:cs="Times New Roman"/>
          <w:sz w:val="28"/>
          <w:szCs w:val="28"/>
        </w:rPr>
      </w:pPr>
      <w:r w:rsidRPr="00AF0F5C">
        <w:rPr>
          <w:rFonts w:ascii="Times New Roman" w:hAnsi="Times New Roman" w:cs="Times New Roman"/>
          <w:sz w:val="28"/>
          <w:szCs w:val="28"/>
        </w:rPr>
        <w:t>***</w:t>
      </w:r>
    </w:p>
    <w:p w:rsidR="007D14A8" w:rsidRPr="00AF0F5C" w:rsidRDefault="007D14A8" w:rsidP="007D14A8">
      <w:pPr>
        <w:spacing w:line="240" w:lineRule="auto"/>
        <w:jc w:val="center"/>
        <w:rPr>
          <w:rFonts w:ascii="Times New Roman" w:hAnsi="Times New Roman" w:cs="Times New Roman"/>
          <w:sz w:val="28"/>
          <w:szCs w:val="28"/>
        </w:rPr>
      </w:pPr>
      <w:r w:rsidRPr="00AF0F5C">
        <w:rPr>
          <w:rFonts w:ascii="Times New Roman" w:hAnsi="Times New Roman" w:cs="Times New Roman"/>
          <w:sz w:val="28"/>
          <w:szCs w:val="28"/>
        </w:rPr>
        <w:t xml:space="preserve">Commonwealth Honors Program </w:t>
      </w:r>
      <w:r w:rsidRPr="00AF0F5C">
        <w:rPr>
          <w:rFonts w:ascii="Times New Roman" w:hAnsi="Times New Roman" w:cs="Times New Roman"/>
          <w:sz w:val="28"/>
          <w:szCs w:val="28"/>
        </w:rPr>
        <w:br/>
        <w:t>Salem State University</w:t>
      </w:r>
    </w:p>
    <w:p w:rsidR="007D14A8" w:rsidRPr="00AF0F5C" w:rsidRDefault="007D14A8" w:rsidP="007D14A8">
      <w:pPr>
        <w:spacing w:line="240" w:lineRule="auto"/>
        <w:jc w:val="center"/>
        <w:rPr>
          <w:rFonts w:ascii="Times New Roman" w:hAnsi="Times New Roman" w:cs="Times New Roman"/>
          <w:sz w:val="28"/>
          <w:szCs w:val="28"/>
        </w:rPr>
      </w:pPr>
      <w:r w:rsidRPr="00AF0F5C">
        <w:rPr>
          <w:rFonts w:ascii="Times New Roman" w:hAnsi="Times New Roman" w:cs="Times New Roman"/>
          <w:sz w:val="28"/>
          <w:szCs w:val="28"/>
        </w:rPr>
        <w:t>2015</w:t>
      </w:r>
    </w:p>
    <w:p w:rsidR="007D14A8" w:rsidRPr="007D14A8" w:rsidRDefault="007D14A8">
      <w:pPr>
        <w:rPr>
          <w:rFonts w:eastAsia="Arial Unicode MS" w:cs="Arial"/>
        </w:rPr>
      </w:pPr>
      <w:r w:rsidRPr="007D14A8">
        <w:rPr>
          <w:rFonts w:eastAsia="Arial Unicode MS" w:cs="Arial"/>
        </w:rPr>
        <w:br w:type="page"/>
      </w:r>
    </w:p>
    <w:p w:rsidR="005154C6" w:rsidRPr="007D14A8" w:rsidRDefault="005154C6" w:rsidP="009E0726">
      <w:pPr>
        <w:ind w:firstLine="720"/>
        <w:rPr>
          <w:rFonts w:eastAsia="Arial Unicode MS" w:cs="Arial"/>
        </w:rPr>
      </w:pPr>
    </w:p>
    <w:sdt>
      <w:sdtPr>
        <w:rPr>
          <w:rFonts w:ascii="Arial" w:eastAsiaTheme="minorHAnsi" w:hAnsi="Arial" w:cs="Arial"/>
          <w:color w:val="auto"/>
          <w:sz w:val="24"/>
          <w:szCs w:val="24"/>
        </w:rPr>
        <w:id w:val="-557166218"/>
        <w:docPartObj>
          <w:docPartGallery w:val="Table of Contents"/>
          <w:docPartUnique/>
        </w:docPartObj>
      </w:sdtPr>
      <w:sdtEndPr>
        <w:rPr>
          <w:b/>
          <w:bCs/>
          <w:noProof/>
        </w:rPr>
      </w:sdtEndPr>
      <w:sdtContent>
        <w:p w:rsidR="007C283F" w:rsidRPr="007D14A8" w:rsidRDefault="007C283F" w:rsidP="007D14A8">
          <w:pPr>
            <w:pStyle w:val="TOCHeading"/>
            <w:rPr>
              <w:rFonts w:cs="Arial"/>
              <w:b/>
              <w:color w:val="4F81BD" w:themeColor="accent1"/>
              <w:sz w:val="28"/>
              <w:szCs w:val="28"/>
            </w:rPr>
          </w:pPr>
          <w:r w:rsidRPr="007D14A8">
            <w:rPr>
              <w:rFonts w:cs="Arial"/>
              <w:b/>
              <w:color w:val="4F81BD" w:themeColor="accent1"/>
              <w:sz w:val="28"/>
              <w:szCs w:val="28"/>
            </w:rPr>
            <w:t>Contents</w:t>
          </w:r>
        </w:p>
        <w:p w:rsidR="007D14A8" w:rsidRPr="007D14A8" w:rsidRDefault="007D14A8" w:rsidP="007D14A8">
          <w:pPr>
            <w:rPr>
              <w:rFonts w:cs="Arial"/>
            </w:rPr>
          </w:pPr>
        </w:p>
        <w:p w:rsidR="007C283F" w:rsidRPr="007D14A8" w:rsidRDefault="007C283F">
          <w:pPr>
            <w:pStyle w:val="TOC1"/>
            <w:tabs>
              <w:tab w:val="right" w:leader="dot" w:pos="9350"/>
            </w:tabs>
            <w:rPr>
              <w:rFonts w:cs="Arial"/>
              <w:noProof/>
              <w:szCs w:val="24"/>
            </w:rPr>
          </w:pPr>
          <w:r w:rsidRPr="007D14A8">
            <w:rPr>
              <w:rFonts w:cs="Arial"/>
              <w:szCs w:val="24"/>
            </w:rPr>
            <w:fldChar w:fldCharType="begin"/>
          </w:r>
          <w:r w:rsidRPr="007D14A8">
            <w:rPr>
              <w:rFonts w:cs="Arial"/>
              <w:szCs w:val="24"/>
            </w:rPr>
            <w:instrText xml:space="preserve"> TOC \o "1-3" \h \z \u </w:instrText>
          </w:r>
          <w:r w:rsidRPr="007D14A8">
            <w:rPr>
              <w:rFonts w:cs="Arial"/>
              <w:szCs w:val="24"/>
            </w:rPr>
            <w:fldChar w:fldCharType="separate"/>
          </w:r>
          <w:hyperlink w:anchor="_Toc418848393" w:history="1">
            <w:r w:rsidRPr="007D14A8">
              <w:rPr>
                <w:rStyle w:val="Hyperlink"/>
                <w:rFonts w:eastAsia="Arial Unicode MS" w:cs="Arial"/>
                <w:noProof/>
                <w:color w:val="auto"/>
                <w:szCs w:val="24"/>
              </w:rPr>
              <w:t>Introduction</w:t>
            </w:r>
            <w:r w:rsidRPr="007D14A8">
              <w:rPr>
                <w:rFonts w:cs="Arial"/>
                <w:noProof/>
                <w:webHidden/>
                <w:szCs w:val="24"/>
              </w:rPr>
              <w:tab/>
            </w:r>
            <w:r w:rsidRPr="007D14A8">
              <w:rPr>
                <w:rFonts w:cs="Arial"/>
                <w:noProof/>
                <w:webHidden/>
                <w:szCs w:val="24"/>
              </w:rPr>
              <w:fldChar w:fldCharType="begin"/>
            </w:r>
            <w:r w:rsidRPr="007D14A8">
              <w:rPr>
                <w:rFonts w:cs="Arial"/>
                <w:noProof/>
                <w:webHidden/>
                <w:szCs w:val="24"/>
              </w:rPr>
              <w:instrText xml:space="preserve"> PAGEREF _Toc418848393 \h </w:instrText>
            </w:r>
            <w:r w:rsidRPr="007D14A8">
              <w:rPr>
                <w:rFonts w:cs="Arial"/>
                <w:noProof/>
                <w:webHidden/>
                <w:szCs w:val="24"/>
              </w:rPr>
            </w:r>
            <w:r w:rsidRPr="007D14A8">
              <w:rPr>
                <w:rFonts w:cs="Arial"/>
                <w:noProof/>
                <w:webHidden/>
                <w:szCs w:val="24"/>
              </w:rPr>
              <w:fldChar w:fldCharType="separate"/>
            </w:r>
            <w:r w:rsidRPr="007D14A8">
              <w:rPr>
                <w:rFonts w:cs="Arial"/>
                <w:noProof/>
                <w:webHidden/>
                <w:szCs w:val="24"/>
              </w:rPr>
              <w:t>1</w:t>
            </w:r>
            <w:r w:rsidRPr="007D14A8">
              <w:rPr>
                <w:rFonts w:cs="Arial"/>
                <w:noProof/>
                <w:webHidden/>
                <w:szCs w:val="24"/>
              </w:rPr>
              <w:fldChar w:fldCharType="end"/>
            </w:r>
          </w:hyperlink>
        </w:p>
        <w:p w:rsidR="007C283F" w:rsidRPr="007D14A8" w:rsidRDefault="005F0FEB">
          <w:pPr>
            <w:pStyle w:val="TOC1"/>
            <w:tabs>
              <w:tab w:val="right" w:leader="dot" w:pos="9350"/>
            </w:tabs>
            <w:rPr>
              <w:rFonts w:cs="Arial"/>
              <w:noProof/>
              <w:szCs w:val="24"/>
            </w:rPr>
          </w:pPr>
          <w:hyperlink w:anchor="_Toc418848394" w:history="1">
            <w:r w:rsidR="007C283F" w:rsidRPr="007D14A8">
              <w:rPr>
                <w:rStyle w:val="Hyperlink"/>
                <w:rFonts w:eastAsia="Arial Unicode MS" w:cs="Arial"/>
                <w:noProof/>
                <w:color w:val="auto"/>
                <w:szCs w:val="24"/>
              </w:rPr>
              <w:t>Crazy Eddie</w:t>
            </w:r>
            <w:r w:rsidR="007C283F" w:rsidRPr="007D14A8">
              <w:rPr>
                <w:rFonts w:cs="Arial"/>
                <w:noProof/>
                <w:webHidden/>
                <w:szCs w:val="24"/>
              </w:rPr>
              <w:tab/>
            </w:r>
            <w:r w:rsidR="007C283F" w:rsidRPr="007D14A8">
              <w:rPr>
                <w:rFonts w:cs="Arial"/>
                <w:noProof/>
                <w:webHidden/>
                <w:szCs w:val="24"/>
              </w:rPr>
              <w:fldChar w:fldCharType="begin"/>
            </w:r>
            <w:r w:rsidR="007C283F" w:rsidRPr="007D14A8">
              <w:rPr>
                <w:rFonts w:cs="Arial"/>
                <w:noProof/>
                <w:webHidden/>
                <w:szCs w:val="24"/>
              </w:rPr>
              <w:instrText xml:space="preserve"> PAGEREF _Toc418848394 \h </w:instrText>
            </w:r>
            <w:r w:rsidR="007C283F" w:rsidRPr="007D14A8">
              <w:rPr>
                <w:rFonts w:cs="Arial"/>
                <w:noProof/>
                <w:webHidden/>
                <w:szCs w:val="24"/>
              </w:rPr>
            </w:r>
            <w:r w:rsidR="007C283F" w:rsidRPr="007D14A8">
              <w:rPr>
                <w:rFonts w:cs="Arial"/>
                <w:noProof/>
                <w:webHidden/>
                <w:szCs w:val="24"/>
              </w:rPr>
              <w:fldChar w:fldCharType="separate"/>
            </w:r>
            <w:r w:rsidR="007C283F" w:rsidRPr="007D14A8">
              <w:rPr>
                <w:rFonts w:cs="Arial"/>
                <w:noProof/>
                <w:webHidden/>
                <w:szCs w:val="24"/>
              </w:rPr>
              <w:t>2</w:t>
            </w:r>
            <w:r w:rsidR="007C283F" w:rsidRPr="007D14A8">
              <w:rPr>
                <w:rFonts w:cs="Arial"/>
                <w:noProof/>
                <w:webHidden/>
                <w:szCs w:val="24"/>
              </w:rPr>
              <w:fldChar w:fldCharType="end"/>
            </w:r>
          </w:hyperlink>
        </w:p>
        <w:p w:rsidR="007C283F" w:rsidRPr="007D14A8" w:rsidRDefault="005F0FEB">
          <w:pPr>
            <w:pStyle w:val="TOC1"/>
            <w:tabs>
              <w:tab w:val="right" w:leader="dot" w:pos="9350"/>
            </w:tabs>
            <w:rPr>
              <w:rFonts w:cs="Arial"/>
              <w:noProof/>
              <w:szCs w:val="24"/>
            </w:rPr>
          </w:pPr>
          <w:hyperlink w:anchor="_Toc418848395" w:history="1">
            <w:r w:rsidR="007C283F" w:rsidRPr="007D14A8">
              <w:rPr>
                <w:rStyle w:val="Hyperlink"/>
                <w:rFonts w:eastAsia="Arial Unicode MS" w:cs="Arial"/>
                <w:noProof/>
                <w:color w:val="auto"/>
                <w:szCs w:val="24"/>
              </w:rPr>
              <w:t>The Sarbanes-Oxley Act</w:t>
            </w:r>
            <w:r w:rsidR="007C283F" w:rsidRPr="007D14A8">
              <w:rPr>
                <w:rFonts w:cs="Arial"/>
                <w:noProof/>
                <w:webHidden/>
                <w:szCs w:val="24"/>
              </w:rPr>
              <w:tab/>
            </w:r>
            <w:r w:rsidR="007C283F" w:rsidRPr="007D14A8">
              <w:rPr>
                <w:rFonts w:cs="Arial"/>
                <w:noProof/>
                <w:webHidden/>
                <w:szCs w:val="24"/>
              </w:rPr>
              <w:fldChar w:fldCharType="begin"/>
            </w:r>
            <w:r w:rsidR="007C283F" w:rsidRPr="007D14A8">
              <w:rPr>
                <w:rFonts w:cs="Arial"/>
                <w:noProof/>
                <w:webHidden/>
                <w:szCs w:val="24"/>
              </w:rPr>
              <w:instrText xml:space="preserve"> PAGEREF _Toc418848395 \h </w:instrText>
            </w:r>
            <w:r w:rsidR="007C283F" w:rsidRPr="007D14A8">
              <w:rPr>
                <w:rFonts w:cs="Arial"/>
                <w:noProof/>
                <w:webHidden/>
                <w:szCs w:val="24"/>
              </w:rPr>
            </w:r>
            <w:r w:rsidR="007C283F" w:rsidRPr="007D14A8">
              <w:rPr>
                <w:rFonts w:cs="Arial"/>
                <w:noProof/>
                <w:webHidden/>
                <w:szCs w:val="24"/>
              </w:rPr>
              <w:fldChar w:fldCharType="separate"/>
            </w:r>
            <w:r w:rsidR="007C283F" w:rsidRPr="007D14A8">
              <w:rPr>
                <w:rFonts w:cs="Arial"/>
                <w:noProof/>
                <w:webHidden/>
                <w:szCs w:val="24"/>
              </w:rPr>
              <w:t>11</w:t>
            </w:r>
            <w:r w:rsidR="007C283F" w:rsidRPr="007D14A8">
              <w:rPr>
                <w:rFonts w:cs="Arial"/>
                <w:noProof/>
                <w:webHidden/>
                <w:szCs w:val="24"/>
              </w:rPr>
              <w:fldChar w:fldCharType="end"/>
            </w:r>
          </w:hyperlink>
        </w:p>
        <w:p w:rsidR="007C283F" w:rsidRPr="007D14A8" w:rsidRDefault="005F0FEB">
          <w:pPr>
            <w:pStyle w:val="TOC1"/>
            <w:tabs>
              <w:tab w:val="right" w:leader="dot" w:pos="9350"/>
            </w:tabs>
            <w:rPr>
              <w:rFonts w:cs="Arial"/>
              <w:noProof/>
              <w:szCs w:val="24"/>
            </w:rPr>
          </w:pPr>
          <w:hyperlink w:anchor="_Toc418848396" w:history="1">
            <w:r w:rsidR="007C283F" w:rsidRPr="007D14A8">
              <w:rPr>
                <w:rStyle w:val="Hyperlink"/>
                <w:rFonts w:eastAsia="Arial Unicode MS" w:cs="Arial"/>
                <w:noProof/>
                <w:color w:val="auto"/>
                <w:szCs w:val="24"/>
              </w:rPr>
              <w:t>MF Global</w:t>
            </w:r>
            <w:r w:rsidR="007C283F" w:rsidRPr="007D14A8">
              <w:rPr>
                <w:rFonts w:cs="Arial"/>
                <w:noProof/>
                <w:webHidden/>
                <w:szCs w:val="24"/>
              </w:rPr>
              <w:tab/>
            </w:r>
            <w:r w:rsidR="007C283F" w:rsidRPr="007D14A8">
              <w:rPr>
                <w:rFonts w:cs="Arial"/>
                <w:noProof/>
                <w:webHidden/>
                <w:szCs w:val="24"/>
              </w:rPr>
              <w:fldChar w:fldCharType="begin"/>
            </w:r>
            <w:r w:rsidR="007C283F" w:rsidRPr="007D14A8">
              <w:rPr>
                <w:rFonts w:cs="Arial"/>
                <w:noProof/>
                <w:webHidden/>
                <w:szCs w:val="24"/>
              </w:rPr>
              <w:instrText xml:space="preserve"> PAGEREF _Toc418848396 \h </w:instrText>
            </w:r>
            <w:r w:rsidR="007C283F" w:rsidRPr="007D14A8">
              <w:rPr>
                <w:rFonts w:cs="Arial"/>
                <w:noProof/>
                <w:webHidden/>
                <w:szCs w:val="24"/>
              </w:rPr>
            </w:r>
            <w:r w:rsidR="007C283F" w:rsidRPr="007D14A8">
              <w:rPr>
                <w:rFonts w:cs="Arial"/>
                <w:noProof/>
                <w:webHidden/>
                <w:szCs w:val="24"/>
              </w:rPr>
              <w:fldChar w:fldCharType="separate"/>
            </w:r>
            <w:r w:rsidR="007C283F" w:rsidRPr="007D14A8">
              <w:rPr>
                <w:rFonts w:cs="Arial"/>
                <w:noProof/>
                <w:webHidden/>
                <w:szCs w:val="24"/>
              </w:rPr>
              <w:t>12</w:t>
            </w:r>
            <w:r w:rsidR="007C283F" w:rsidRPr="007D14A8">
              <w:rPr>
                <w:rFonts w:cs="Arial"/>
                <w:noProof/>
                <w:webHidden/>
                <w:szCs w:val="24"/>
              </w:rPr>
              <w:fldChar w:fldCharType="end"/>
            </w:r>
          </w:hyperlink>
        </w:p>
        <w:p w:rsidR="007C283F" w:rsidRPr="007D14A8" w:rsidRDefault="005F0FEB">
          <w:pPr>
            <w:pStyle w:val="TOC1"/>
            <w:tabs>
              <w:tab w:val="right" w:leader="dot" w:pos="9350"/>
            </w:tabs>
            <w:rPr>
              <w:rFonts w:cs="Arial"/>
              <w:noProof/>
              <w:szCs w:val="24"/>
            </w:rPr>
          </w:pPr>
          <w:hyperlink w:anchor="_Toc418848397" w:history="1">
            <w:r w:rsidR="007C283F" w:rsidRPr="007D14A8">
              <w:rPr>
                <w:rStyle w:val="Hyperlink"/>
                <w:rFonts w:eastAsia="Arial Unicode MS" w:cs="Arial"/>
                <w:noProof/>
                <w:color w:val="auto"/>
                <w:szCs w:val="24"/>
              </w:rPr>
              <w:t>Conclusion</w:t>
            </w:r>
            <w:r w:rsidR="007C283F" w:rsidRPr="007D14A8">
              <w:rPr>
                <w:rFonts w:cs="Arial"/>
                <w:noProof/>
                <w:webHidden/>
                <w:szCs w:val="24"/>
              </w:rPr>
              <w:tab/>
            </w:r>
            <w:r w:rsidR="007C283F" w:rsidRPr="007D14A8">
              <w:rPr>
                <w:rFonts w:cs="Arial"/>
                <w:noProof/>
                <w:webHidden/>
                <w:szCs w:val="24"/>
              </w:rPr>
              <w:fldChar w:fldCharType="begin"/>
            </w:r>
            <w:r w:rsidR="007C283F" w:rsidRPr="007D14A8">
              <w:rPr>
                <w:rFonts w:cs="Arial"/>
                <w:noProof/>
                <w:webHidden/>
                <w:szCs w:val="24"/>
              </w:rPr>
              <w:instrText xml:space="preserve"> PAGEREF _Toc418848397 \h </w:instrText>
            </w:r>
            <w:r w:rsidR="007C283F" w:rsidRPr="007D14A8">
              <w:rPr>
                <w:rFonts w:cs="Arial"/>
                <w:noProof/>
                <w:webHidden/>
                <w:szCs w:val="24"/>
              </w:rPr>
            </w:r>
            <w:r w:rsidR="007C283F" w:rsidRPr="007D14A8">
              <w:rPr>
                <w:rFonts w:cs="Arial"/>
                <w:noProof/>
                <w:webHidden/>
                <w:szCs w:val="24"/>
              </w:rPr>
              <w:fldChar w:fldCharType="separate"/>
            </w:r>
            <w:r w:rsidR="007C283F" w:rsidRPr="007D14A8">
              <w:rPr>
                <w:rFonts w:cs="Arial"/>
                <w:noProof/>
                <w:webHidden/>
                <w:szCs w:val="24"/>
              </w:rPr>
              <w:t>14</w:t>
            </w:r>
            <w:r w:rsidR="007C283F" w:rsidRPr="007D14A8">
              <w:rPr>
                <w:rFonts w:cs="Arial"/>
                <w:noProof/>
                <w:webHidden/>
                <w:szCs w:val="24"/>
              </w:rPr>
              <w:fldChar w:fldCharType="end"/>
            </w:r>
          </w:hyperlink>
        </w:p>
        <w:p w:rsidR="007C283F" w:rsidRPr="007D14A8" w:rsidRDefault="005F0FEB">
          <w:pPr>
            <w:pStyle w:val="TOC1"/>
            <w:tabs>
              <w:tab w:val="right" w:leader="dot" w:pos="9350"/>
            </w:tabs>
            <w:rPr>
              <w:rFonts w:cs="Arial"/>
              <w:noProof/>
              <w:szCs w:val="24"/>
            </w:rPr>
          </w:pPr>
          <w:hyperlink w:anchor="_Toc418848398" w:history="1">
            <w:r w:rsidR="007C283F" w:rsidRPr="007D14A8">
              <w:rPr>
                <w:rStyle w:val="Hyperlink"/>
                <w:rFonts w:cs="Arial"/>
                <w:noProof/>
                <w:color w:val="auto"/>
                <w:szCs w:val="24"/>
              </w:rPr>
              <w:t>Works Cited</w:t>
            </w:r>
            <w:r w:rsidR="007C283F" w:rsidRPr="007D14A8">
              <w:rPr>
                <w:rFonts w:cs="Arial"/>
                <w:noProof/>
                <w:webHidden/>
                <w:szCs w:val="24"/>
              </w:rPr>
              <w:tab/>
            </w:r>
            <w:r w:rsidR="007C283F" w:rsidRPr="007D14A8">
              <w:rPr>
                <w:rFonts w:cs="Arial"/>
                <w:noProof/>
                <w:webHidden/>
                <w:szCs w:val="24"/>
              </w:rPr>
              <w:fldChar w:fldCharType="begin"/>
            </w:r>
            <w:r w:rsidR="007C283F" w:rsidRPr="007D14A8">
              <w:rPr>
                <w:rFonts w:cs="Arial"/>
                <w:noProof/>
                <w:webHidden/>
                <w:szCs w:val="24"/>
              </w:rPr>
              <w:instrText xml:space="preserve"> PAGEREF _Toc418848398 \h </w:instrText>
            </w:r>
            <w:r w:rsidR="007C283F" w:rsidRPr="007D14A8">
              <w:rPr>
                <w:rFonts w:cs="Arial"/>
                <w:noProof/>
                <w:webHidden/>
                <w:szCs w:val="24"/>
              </w:rPr>
            </w:r>
            <w:r w:rsidR="007C283F" w:rsidRPr="007D14A8">
              <w:rPr>
                <w:rFonts w:cs="Arial"/>
                <w:noProof/>
                <w:webHidden/>
                <w:szCs w:val="24"/>
              </w:rPr>
              <w:fldChar w:fldCharType="separate"/>
            </w:r>
            <w:r w:rsidR="007C283F" w:rsidRPr="007D14A8">
              <w:rPr>
                <w:rFonts w:cs="Arial"/>
                <w:noProof/>
                <w:webHidden/>
                <w:szCs w:val="24"/>
              </w:rPr>
              <w:t>1</w:t>
            </w:r>
            <w:r w:rsidR="007D14A8">
              <w:rPr>
                <w:rFonts w:cs="Arial"/>
                <w:noProof/>
                <w:webHidden/>
                <w:szCs w:val="24"/>
              </w:rPr>
              <w:t>9</w:t>
            </w:r>
            <w:r w:rsidR="007C283F" w:rsidRPr="007D14A8">
              <w:rPr>
                <w:rFonts w:cs="Arial"/>
                <w:noProof/>
                <w:webHidden/>
                <w:szCs w:val="24"/>
              </w:rPr>
              <w:fldChar w:fldCharType="end"/>
            </w:r>
          </w:hyperlink>
        </w:p>
        <w:p w:rsidR="007C283F" w:rsidRPr="007D14A8" w:rsidRDefault="007C283F">
          <w:pPr>
            <w:rPr>
              <w:rFonts w:cs="Arial"/>
            </w:rPr>
          </w:pPr>
          <w:r w:rsidRPr="007D14A8">
            <w:rPr>
              <w:rFonts w:cs="Arial"/>
              <w:b/>
              <w:bCs/>
              <w:noProof/>
              <w:szCs w:val="24"/>
            </w:rPr>
            <w:fldChar w:fldCharType="end"/>
          </w:r>
        </w:p>
      </w:sdtContent>
    </w:sdt>
    <w:p w:rsidR="00657029" w:rsidRDefault="00657029" w:rsidP="009E0726">
      <w:pPr>
        <w:ind w:firstLine="720"/>
        <w:rPr>
          <w:rFonts w:eastAsia="Arial Unicode MS" w:cs="Arial"/>
        </w:rPr>
      </w:pPr>
    </w:p>
    <w:p w:rsidR="007C283F" w:rsidRDefault="007C283F" w:rsidP="009E0726">
      <w:pPr>
        <w:ind w:firstLine="720"/>
        <w:rPr>
          <w:rFonts w:eastAsia="Arial Unicode MS" w:cs="Arial"/>
        </w:rPr>
      </w:pPr>
    </w:p>
    <w:p w:rsidR="007C283F" w:rsidRDefault="007C283F" w:rsidP="009E0726">
      <w:pPr>
        <w:ind w:firstLine="720"/>
        <w:rPr>
          <w:rFonts w:eastAsia="Arial Unicode MS" w:cs="Arial"/>
        </w:rPr>
      </w:pPr>
    </w:p>
    <w:p w:rsidR="007C283F" w:rsidRDefault="007C283F" w:rsidP="009E0726">
      <w:pPr>
        <w:ind w:firstLine="720"/>
        <w:rPr>
          <w:rFonts w:eastAsia="Arial Unicode MS" w:cs="Arial"/>
        </w:rPr>
      </w:pPr>
    </w:p>
    <w:p w:rsidR="007C283F" w:rsidRDefault="007C283F" w:rsidP="009E0726">
      <w:pPr>
        <w:ind w:firstLine="720"/>
        <w:rPr>
          <w:rFonts w:eastAsia="Arial Unicode MS" w:cs="Arial"/>
        </w:rPr>
      </w:pPr>
    </w:p>
    <w:p w:rsidR="007C283F" w:rsidRDefault="007C283F" w:rsidP="009E0726">
      <w:pPr>
        <w:ind w:firstLine="720"/>
        <w:rPr>
          <w:rFonts w:eastAsia="Arial Unicode MS" w:cs="Arial"/>
        </w:rPr>
      </w:pPr>
    </w:p>
    <w:p w:rsidR="007C283F" w:rsidRDefault="007C283F" w:rsidP="009E0726">
      <w:pPr>
        <w:ind w:firstLine="720"/>
        <w:rPr>
          <w:rFonts w:eastAsia="Arial Unicode MS" w:cs="Arial"/>
        </w:rPr>
      </w:pPr>
    </w:p>
    <w:p w:rsidR="007C283F" w:rsidRDefault="007C283F" w:rsidP="009E0726">
      <w:pPr>
        <w:ind w:firstLine="720"/>
        <w:rPr>
          <w:rFonts w:eastAsia="Arial Unicode MS" w:cs="Arial"/>
        </w:rPr>
      </w:pPr>
    </w:p>
    <w:p w:rsidR="007C283F" w:rsidRDefault="007C283F" w:rsidP="009E0726">
      <w:pPr>
        <w:ind w:firstLine="720"/>
        <w:rPr>
          <w:rFonts w:eastAsia="Arial Unicode MS" w:cs="Arial"/>
        </w:rPr>
      </w:pPr>
    </w:p>
    <w:p w:rsidR="007C283F" w:rsidRDefault="007C283F" w:rsidP="009E0726">
      <w:pPr>
        <w:ind w:firstLine="720"/>
        <w:rPr>
          <w:rFonts w:eastAsia="Arial Unicode MS" w:cs="Arial"/>
        </w:rPr>
      </w:pPr>
    </w:p>
    <w:p w:rsidR="00657029" w:rsidRDefault="00657029" w:rsidP="00657029">
      <w:pPr>
        <w:pStyle w:val="Heading1"/>
        <w:rPr>
          <w:rFonts w:eastAsia="Arial Unicode MS"/>
        </w:rPr>
      </w:pPr>
      <w:bookmarkStart w:id="1" w:name="_Toc418848393"/>
      <w:r>
        <w:rPr>
          <w:rFonts w:eastAsia="Arial Unicode MS"/>
        </w:rPr>
        <w:t>Introduction</w:t>
      </w:r>
      <w:bookmarkEnd w:id="1"/>
    </w:p>
    <w:p w:rsidR="00657029" w:rsidRPr="00657029" w:rsidRDefault="00657029" w:rsidP="00657029">
      <w:pPr>
        <w:rPr>
          <w:lang w:eastAsia="ja-JP"/>
        </w:rPr>
      </w:pPr>
    </w:p>
    <w:p w:rsidR="0011133B" w:rsidRPr="008329A7" w:rsidRDefault="0011133B" w:rsidP="009E0726">
      <w:pPr>
        <w:ind w:firstLine="720"/>
        <w:rPr>
          <w:rFonts w:eastAsia="Arial Unicode MS" w:cs="Arial"/>
        </w:rPr>
      </w:pPr>
      <w:r w:rsidRPr="008329A7">
        <w:rPr>
          <w:rFonts w:eastAsia="Arial Unicode MS" w:cs="Arial"/>
        </w:rPr>
        <w:t>The median amount of time it takes for fraud to be detected is about 18 months worldwide</w:t>
      </w:r>
      <w:r w:rsidRPr="008329A7">
        <w:rPr>
          <w:rStyle w:val="FootnoteReference"/>
          <w:rFonts w:eastAsia="Arial Unicode MS" w:cs="Arial"/>
        </w:rPr>
        <w:footnoteReference w:id="1"/>
      </w:r>
      <w:r w:rsidRPr="008329A7">
        <w:rPr>
          <w:rFonts w:eastAsia="Arial Unicode MS" w:cs="Arial"/>
        </w:rPr>
        <w:t>. This means that from the time the fraud is initiated to the time an auditor or certified fraud examiner discovers it a year and a half passes. Since ever</w:t>
      </w:r>
      <w:r>
        <w:rPr>
          <w:rFonts w:eastAsia="Arial Unicode MS" w:cs="Arial"/>
        </w:rPr>
        <w:t>y</w:t>
      </w:r>
      <w:r w:rsidRPr="008329A7">
        <w:rPr>
          <w:rFonts w:eastAsia="Arial Unicode MS" w:cs="Arial"/>
        </w:rPr>
        <w:t xml:space="preserve"> publically traded company must undergo an audit at least once every 12 months, this </w:t>
      </w:r>
      <w:r>
        <w:rPr>
          <w:rFonts w:eastAsia="Arial Unicode MS" w:cs="Arial"/>
        </w:rPr>
        <w:t>means that the average fraud</w:t>
      </w:r>
      <w:r w:rsidRPr="008329A7">
        <w:rPr>
          <w:rFonts w:eastAsia="Arial Unicode MS" w:cs="Arial"/>
        </w:rPr>
        <w:t xml:space="preserve"> scheme lasts at least 6 months even after the company had been audited.  </w:t>
      </w:r>
    </w:p>
    <w:p w:rsidR="0011133B" w:rsidRPr="008329A7" w:rsidRDefault="0011133B" w:rsidP="0011133B">
      <w:pPr>
        <w:rPr>
          <w:rFonts w:eastAsia="Arial Unicode MS" w:cs="Arial"/>
        </w:rPr>
      </w:pPr>
      <w:r w:rsidRPr="008329A7">
        <w:rPr>
          <w:rFonts w:eastAsia="Arial Unicode MS" w:cs="Arial"/>
        </w:rPr>
        <w:tab/>
        <w:t>Additionally, the median amount of loss caused by each fraud case was $145,000 USD</w:t>
      </w:r>
      <w:r w:rsidRPr="008329A7">
        <w:rPr>
          <w:rStyle w:val="FootnoteReference"/>
          <w:rFonts w:eastAsia="Arial Unicode MS" w:cs="Arial"/>
        </w:rPr>
        <w:t>1</w:t>
      </w:r>
      <w:r w:rsidR="0073246F">
        <w:rPr>
          <w:rFonts w:eastAsia="Arial Unicode MS" w:cs="Arial"/>
        </w:rPr>
        <w:t xml:space="preserve">. So if </w:t>
      </w:r>
      <w:r w:rsidRPr="008329A7">
        <w:rPr>
          <w:rFonts w:eastAsia="Arial Unicode MS" w:cs="Arial"/>
        </w:rPr>
        <w:t>the median amount of fraud per every six months</w:t>
      </w:r>
      <w:r w:rsidR="0073246F">
        <w:rPr>
          <w:rFonts w:eastAsia="Arial Unicode MS" w:cs="Arial"/>
        </w:rPr>
        <w:t xml:space="preserve"> was calculated</w:t>
      </w:r>
      <w:r w:rsidRPr="008329A7">
        <w:rPr>
          <w:rFonts w:eastAsia="Arial Unicode MS" w:cs="Arial"/>
        </w:rPr>
        <w:t>, it would come out to about $48,000 for every six months that the fraud went undetected. The six months of the fraud going undetected, according to research done by the Association of Certi</w:t>
      </w:r>
      <w:r>
        <w:rPr>
          <w:rFonts w:eastAsia="Arial Unicode MS" w:cs="Arial"/>
        </w:rPr>
        <w:t>fied Fraud Examiners, will cost</w:t>
      </w:r>
      <w:r w:rsidRPr="008329A7">
        <w:rPr>
          <w:rFonts w:eastAsia="Arial Unicode MS" w:cs="Arial"/>
        </w:rPr>
        <w:t xml:space="preserve"> an average company an extra $48,000 in losses.</w:t>
      </w:r>
      <w:r w:rsidR="002F3676">
        <w:rPr>
          <w:rFonts w:eastAsia="Arial Unicode MS" w:cs="Arial"/>
        </w:rPr>
        <w:t xml:space="preserve"> This information, however, is not</w:t>
      </w:r>
      <w:r w:rsidRPr="008329A7">
        <w:rPr>
          <w:rFonts w:eastAsia="Arial Unicode MS" w:cs="Arial"/>
        </w:rPr>
        <w:t xml:space="preserve"> even completely accurate. Usually a perpetrator of fraud starts his theft with small amounts, and as he grows more comfortable, the amounts stolen slowly start to increase to larger and larger sums. Using this knowledge it is very common in most fraud cases for the last six months of a fraud operation to be the most costly to a company. So while the average would suggest that the perpetrator was making off with $48,000 every six months, it is possible </w:t>
      </w:r>
      <w:r w:rsidRPr="008329A7">
        <w:rPr>
          <w:rFonts w:eastAsia="Arial Unicode MS" w:cs="Arial"/>
        </w:rPr>
        <w:lastRenderedPageBreak/>
        <w:t>that perpetrator only stole $48,000 in the whole first year, and then in the ensuing 12 mo</w:t>
      </w:r>
      <w:r>
        <w:rPr>
          <w:rFonts w:eastAsia="Arial Unicode MS" w:cs="Arial"/>
        </w:rPr>
        <w:t>nths made off with the other $96</w:t>
      </w:r>
      <w:r w:rsidRPr="008329A7">
        <w:rPr>
          <w:rFonts w:eastAsia="Arial Unicode MS" w:cs="Arial"/>
        </w:rPr>
        <w:t>,000.</w:t>
      </w:r>
    </w:p>
    <w:p w:rsidR="00657029" w:rsidRDefault="0011133B" w:rsidP="00C14DF9">
      <w:pPr>
        <w:rPr>
          <w:rFonts w:eastAsia="Arial Unicode MS" w:cs="Arial"/>
        </w:rPr>
      </w:pPr>
      <w:r w:rsidRPr="008329A7">
        <w:rPr>
          <w:rFonts w:eastAsia="Arial Unicode MS" w:cs="Arial"/>
        </w:rPr>
        <w:tab/>
        <w:t>Of all the fraud cases included in the “Report to the Nations on Occupational Fraud and Abuse” that was published by the ACFE in 2014, only 17.1% of fraud cases were discovered by an audit, whether it was internal or external. According to the study, in 2014 the most effective way to discover fraud was through tips from fellow employees in the company. Tips managed to help discover 42.2% of t</w:t>
      </w:r>
      <w:r>
        <w:rPr>
          <w:rFonts w:eastAsia="Arial Unicode MS" w:cs="Arial"/>
        </w:rPr>
        <w:t>he frauds in the survey, which is</w:t>
      </w:r>
      <w:r w:rsidRPr="008329A7">
        <w:rPr>
          <w:rFonts w:eastAsia="Arial Unicode MS" w:cs="Arial"/>
        </w:rPr>
        <w:t xml:space="preserve"> more than twice as much as the certified and trained auditors were able to discover. While it is especially difficult for external auditors to discover fraud, there are many instances in which the auditors </w:t>
      </w:r>
      <w:r w:rsidR="002F3676">
        <w:rPr>
          <w:rFonts w:eastAsia="Arial Unicode MS" w:cs="Arial"/>
        </w:rPr>
        <w:t>did not</w:t>
      </w:r>
      <w:r w:rsidRPr="008329A7">
        <w:rPr>
          <w:rFonts w:eastAsia="Arial Unicode MS" w:cs="Arial"/>
        </w:rPr>
        <w:t xml:space="preserve"> perform their duties properly and overlooked some glaring red flags that </w:t>
      </w:r>
      <w:r w:rsidR="002F3676">
        <w:rPr>
          <w:rFonts w:eastAsia="Arial Unicode MS" w:cs="Arial"/>
        </w:rPr>
        <w:t>could have</w:t>
      </w:r>
      <w:r w:rsidRPr="008329A7">
        <w:rPr>
          <w:rFonts w:eastAsia="Arial Unicode MS" w:cs="Arial"/>
        </w:rPr>
        <w:t xml:space="preserve"> helped discover the fraud well before it was actually discovered. An internal auditor that work</w:t>
      </w:r>
      <w:r>
        <w:rPr>
          <w:rFonts w:eastAsia="Arial Unicode MS" w:cs="Arial"/>
        </w:rPr>
        <w:t>s</w:t>
      </w:r>
      <w:r w:rsidRPr="008329A7">
        <w:rPr>
          <w:rFonts w:eastAsia="Arial Unicode MS" w:cs="Arial"/>
        </w:rPr>
        <w:t xml:space="preserve"> with a company all year long should be able to identify fraud within a company better than an employee that</w:t>
      </w:r>
      <w:r w:rsidR="002F3676">
        <w:rPr>
          <w:rFonts w:eastAsia="Arial Unicode MS" w:cs="Arial"/>
        </w:rPr>
        <w:t xml:space="preserve"> is not</w:t>
      </w:r>
      <w:r>
        <w:rPr>
          <w:rFonts w:eastAsia="Arial Unicode MS" w:cs="Arial"/>
        </w:rPr>
        <w:t xml:space="preserve"> trained at all to detect</w:t>
      </w:r>
      <w:r w:rsidRPr="008329A7">
        <w:rPr>
          <w:rFonts w:eastAsia="Arial Unicode MS" w:cs="Arial"/>
        </w:rPr>
        <w:t xml:space="preserve"> such things. A lack of thoroughness and a lack of identification of red flags by auditors can cost companies suffering from fraud thousands</w:t>
      </w:r>
      <w:r>
        <w:rPr>
          <w:rFonts w:eastAsia="Arial Unicode MS" w:cs="Arial"/>
        </w:rPr>
        <w:t>, if not millions,</w:t>
      </w:r>
      <w:r w:rsidRPr="008329A7">
        <w:rPr>
          <w:rFonts w:eastAsia="Arial Unicode MS" w:cs="Arial"/>
        </w:rPr>
        <w:t xml:space="preserve"> of dollars every year.</w:t>
      </w:r>
    </w:p>
    <w:p w:rsidR="00657029" w:rsidRDefault="00657029" w:rsidP="00657029">
      <w:pPr>
        <w:pStyle w:val="Heading1"/>
        <w:rPr>
          <w:rFonts w:eastAsia="Arial Unicode MS"/>
        </w:rPr>
      </w:pPr>
      <w:bookmarkStart w:id="2" w:name="_Toc418848394"/>
      <w:r>
        <w:rPr>
          <w:rFonts w:eastAsia="Arial Unicode MS"/>
        </w:rPr>
        <w:t>Crazy Eddie</w:t>
      </w:r>
      <w:bookmarkEnd w:id="2"/>
    </w:p>
    <w:p w:rsidR="00657029" w:rsidRPr="00657029" w:rsidRDefault="00657029" w:rsidP="00657029">
      <w:pPr>
        <w:rPr>
          <w:lang w:eastAsia="ja-JP"/>
        </w:rPr>
      </w:pPr>
    </w:p>
    <w:p w:rsidR="00C14DF9" w:rsidRPr="008329A7" w:rsidRDefault="00C14DF9" w:rsidP="00657029">
      <w:pPr>
        <w:ind w:firstLine="720"/>
        <w:rPr>
          <w:rFonts w:eastAsia="Arial Unicode MS" w:cs="Arial"/>
        </w:rPr>
      </w:pPr>
      <w:r w:rsidRPr="008329A7">
        <w:rPr>
          <w:rFonts w:eastAsia="Arial Unicode MS" w:cs="Arial"/>
        </w:rPr>
        <w:t xml:space="preserve">Crazy Eddie was an electronics company that was able to get away with </w:t>
      </w:r>
      <w:r>
        <w:rPr>
          <w:rFonts w:eastAsia="Arial Unicode MS" w:cs="Arial"/>
        </w:rPr>
        <w:t>management fraud for about sixteen</w:t>
      </w:r>
      <w:r w:rsidRPr="008329A7">
        <w:rPr>
          <w:rFonts w:eastAsia="Arial Unicode MS" w:cs="Arial"/>
        </w:rPr>
        <w:t xml:space="preserve"> years. The store </w:t>
      </w:r>
      <w:r w:rsidR="002F3676">
        <w:rPr>
          <w:rFonts w:eastAsia="Arial Unicode MS" w:cs="Arial"/>
        </w:rPr>
        <w:t>was not</w:t>
      </w:r>
      <w:r w:rsidRPr="008329A7">
        <w:rPr>
          <w:rFonts w:eastAsia="Arial Unicode MS" w:cs="Arial"/>
        </w:rPr>
        <w:t xml:space="preserve"> always known as Crazy Eddie though, and it </w:t>
      </w:r>
      <w:r w:rsidR="002F3676">
        <w:rPr>
          <w:rFonts w:eastAsia="Arial Unicode MS" w:cs="Arial"/>
        </w:rPr>
        <w:t>was not</w:t>
      </w:r>
      <w:r w:rsidRPr="008329A7">
        <w:rPr>
          <w:rFonts w:eastAsia="Arial Unicode MS" w:cs="Arial"/>
        </w:rPr>
        <w:t xml:space="preserve"> always owned solely by</w:t>
      </w:r>
      <w:r>
        <w:rPr>
          <w:rFonts w:eastAsia="Arial Unicode MS" w:cs="Arial"/>
        </w:rPr>
        <w:t xml:space="preserve"> criminal mastermind</w:t>
      </w:r>
      <w:r w:rsidRPr="008329A7">
        <w:rPr>
          <w:rFonts w:eastAsia="Arial Unicode MS" w:cs="Arial"/>
        </w:rPr>
        <w:t xml:space="preserve"> Eddie Antar. In 1969 Eddie Antar, Sam Antar (Eddie’s father), and Ronnie Gindi (Eddie’s first cousin) </w:t>
      </w:r>
      <w:r w:rsidRPr="008329A7">
        <w:rPr>
          <w:rFonts w:eastAsia="Arial Unicode MS" w:cs="Arial"/>
        </w:rPr>
        <w:lastRenderedPageBreak/>
        <w:t xml:space="preserve">all opened an electronics store, </w:t>
      </w:r>
      <w:r>
        <w:rPr>
          <w:rFonts w:eastAsia="Arial Unicode MS" w:cs="Arial"/>
        </w:rPr>
        <w:t>and they all owned</w:t>
      </w:r>
      <w:r w:rsidRPr="008329A7">
        <w:rPr>
          <w:rFonts w:eastAsia="Arial Unicode MS" w:cs="Arial"/>
        </w:rPr>
        <w:t xml:space="preserve"> an equal one-third share. From 1969 to 1971 the store retained the name Sights and Sounds and then in 1971, when Sights and Sounds went bankrupt, Eddie Antar took advantage of the poor financial situation and purchased Ronnie Gindi’s one-third share. </w:t>
      </w:r>
      <w:r>
        <w:rPr>
          <w:rFonts w:eastAsia="Arial Unicode MS" w:cs="Arial"/>
        </w:rPr>
        <w:t xml:space="preserve">After buying Ronnie’s shares, </w:t>
      </w:r>
      <w:r w:rsidRPr="008329A7">
        <w:rPr>
          <w:rFonts w:eastAsia="Arial Unicode MS" w:cs="Arial"/>
        </w:rPr>
        <w:t>Eddie Antar now owned</w:t>
      </w:r>
      <w:r>
        <w:rPr>
          <w:rFonts w:eastAsia="Arial Unicode MS" w:cs="Arial"/>
        </w:rPr>
        <w:t xml:space="preserve"> two-thirds of the store</w:t>
      </w:r>
      <w:r w:rsidRPr="008329A7">
        <w:rPr>
          <w:rFonts w:eastAsia="Arial Unicode MS" w:cs="Arial"/>
        </w:rPr>
        <w:t xml:space="preserve"> and looking for a fresh start, he</w:t>
      </w:r>
      <w:r>
        <w:rPr>
          <w:rFonts w:eastAsia="Arial Unicode MS" w:cs="Arial"/>
        </w:rPr>
        <w:t xml:space="preserve"> decided to rename</w:t>
      </w:r>
      <w:r w:rsidRPr="008329A7">
        <w:rPr>
          <w:rFonts w:eastAsia="Arial Unicode MS" w:cs="Arial"/>
        </w:rPr>
        <w:t xml:space="preserve"> the store Crazy Eddie in 1971. </w:t>
      </w:r>
      <w:r>
        <w:rPr>
          <w:rFonts w:eastAsia="Arial Unicode MS" w:cs="Arial"/>
        </w:rPr>
        <w:t>From 1971</w:t>
      </w:r>
      <w:r w:rsidRPr="008329A7">
        <w:rPr>
          <w:rFonts w:eastAsia="Arial Unicode MS" w:cs="Arial"/>
        </w:rPr>
        <w:t xml:space="preserve"> to 1987 Sam Antar, Eddie Antar and the rest of their family were guilty of skimming cash from their sales, paying their employees off the books, falsifying their financial records to reduce taxable income, money laundering, and falsifying inventory on hand</w:t>
      </w:r>
      <w:r w:rsidRPr="008329A7">
        <w:rPr>
          <w:rStyle w:val="FootnoteReference"/>
          <w:rFonts w:eastAsia="Arial Unicode MS" w:cs="Arial"/>
        </w:rPr>
        <w:footnoteReference w:id="2"/>
      </w:r>
      <w:r w:rsidRPr="008329A7">
        <w:rPr>
          <w:rFonts w:eastAsia="Arial Unicode MS" w:cs="Arial"/>
        </w:rPr>
        <w:t xml:space="preserve">. </w:t>
      </w:r>
      <w:r>
        <w:rPr>
          <w:rFonts w:eastAsia="Arial Unicode MS" w:cs="Arial"/>
        </w:rPr>
        <w:t>These</w:t>
      </w:r>
      <w:r w:rsidRPr="008329A7">
        <w:rPr>
          <w:rFonts w:eastAsia="Arial Unicode MS" w:cs="Arial"/>
        </w:rPr>
        <w:t xml:space="preserve"> illegal acts took place while Crazy Eddie was both a privately owned company, from 1979 to 198</w:t>
      </w:r>
      <w:r>
        <w:rPr>
          <w:rFonts w:eastAsia="Arial Unicode MS" w:cs="Arial"/>
        </w:rPr>
        <w:t>4, and while</w:t>
      </w:r>
      <w:r w:rsidRPr="008329A7">
        <w:rPr>
          <w:rFonts w:eastAsia="Arial Unicode MS" w:cs="Arial"/>
        </w:rPr>
        <w:t xml:space="preserve"> </w:t>
      </w:r>
      <w:r>
        <w:rPr>
          <w:rFonts w:eastAsia="Arial Unicode MS" w:cs="Arial"/>
        </w:rPr>
        <w:t>it was</w:t>
      </w:r>
      <w:r w:rsidRPr="008329A7">
        <w:rPr>
          <w:rFonts w:eastAsia="Arial Unicode MS" w:cs="Arial"/>
        </w:rPr>
        <w:t xml:space="preserve"> a publically traded company from 198</w:t>
      </w:r>
      <w:r>
        <w:rPr>
          <w:rFonts w:eastAsia="Arial Unicode MS" w:cs="Arial"/>
        </w:rPr>
        <w:t>4 to 1987</w:t>
      </w:r>
      <w:r w:rsidRPr="008329A7">
        <w:rPr>
          <w:rFonts w:eastAsia="Arial Unicode MS" w:cs="Arial"/>
        </w:rPr>
        <w:t>. The standards of auditing are very different for privately held companies and publically traded companies. For example, privately owned companies are not required to disclose any of their fina</w:t>
      </w:r>
      <w:r>
        <w:rPr>
          <w:rFonts w:eastAsia="Arial Unicode MS" w:cs="Arial"/>
        </w:rPr>
        <w:t>ncial information to the public; unlike public companies which are required to release audited financial statements every year</w:t>
      </w:r>
      <w:r w:rsidRPr="008329A7">
        <w:rPr>
          <w:rFonts w:eastAsia="Arial Unicode MS" w:cs="Arial"/>
        </w:rPr>
        <w:t>. Another key difference is the necessity to comply with GAAP standards. Publically owned companies must provide audited financial statements that are in compliance with GAAP standards, as this is required by the Security and Exchange Commission (SEC). Privately owned companies may be subject to GAAP as well, however, since their financial statements are not issued to the public, they are not always required to have audited statements in compliance with GAAP</w:t>
      </w:r>
      <w:r>
        <w:rPr>
          <w:rStyle w:val="FootnoteReference"/>
          <w:rFonts w:eastAsia="Arial Unicode MS" w:cs="Arial"/>
        </w:rPr>
        <w:footnoteReference w:id="3"/>
      </w:r>
      <w:r w:rsidRPr="008329A7">
        <w:rPr>
          <w:rFonts w:eastAsia="Arial Unicode MS" w:cs="Arial"/>
        </w:rPr>
        <w:t xml:space="preserve">. </w:t>
      </w:r>
    </w:p>
    <w:p w:rsidR="00C14DF9" w:rsidRPr="008329A7" w:rsidRDefault="00C14DF9" w:rsidP="00C14DF9">
      <w:pPr>
        <w:rPr>
          <w:rFonts w:eastAsia="Arial Unicode MS" w:cs="Arial"/>
        </w:rPr>
      </w:pPr>
      <w:r w:rsidRPr="008329A7">
        <w:rPr>
          <w:rFonts w:eastAsia="Arial Unicode MS" w:cs="Arial"/>
        </w:rPr>
        <w:tab/>
        <w:t>From the beginning</w:t>
      </w:r>
      <w:r>
        <w:rPr>
          <w:rFonts w:eastAsia="Arial Unicode MS" w:cs="Arial"/>
        </w:rPr>
        <w:t xml:space="preserve"> of their business together</w:t>
      </w:r>
      <w:r w:rsidRPr="008329A7">
        <w:rPr>
          <w:rFonts w:eastAsia="Arial Unicode MS" w:cs="Arial"/>
        </w:rPr>
        <w:t xml:space="preserve">, Sam and Eddie Antar disregarded the fair trade laws set by the US government. The fair trade laws were first enacted in </w:t>
      </w:r>
      <w:r w:rsidRPr="008329A7">
        <w:rPr>
          <w:rFonts w:eastAsia="Arial Unicode MS" w:cs="Arial"/>
        </w:rPr>
        <w:lastRenderedPageBreak/>
        <w:t>1931 by the US government to benefit manufacturers by setting a fixed price that all products could be sold at</w:t>
      </w:r>
      <w:r w:rsidRPr="008329A7">
        <w:rPr>
          <w:rStyle w:val="FootnoteReference"/>
          <w:rFonts w:eastAsia="Arial Unicode MS" w:cs="Arial"/>
        </w:rPr>
        <w:footnoteReference w:id="4"/>
      </w:r>
      <w:r w:rsidRPr="008329A7">
        <w:rPr>
          <w:rFonts w:eastAsia="Arial Unicode MS" w:cs="Arial"/>
        </w:rPr>
        <w:t>. This made it very difficult for small companies to differentiate themselves from other small companies and large corporate ones</w:t>
      </w:r>
      <w:r>
        <w:rPr>
          <w:rFonts w:eastAsia="Arial Unicode MS" w:cs="Arial"/>
        </w:rPr>
        <w:t xml:space="preserve"> because they</w:t>
      </w:r>
      <w:r w:rsidRPr="008329A7">
        <w:rPr>
          <w:rFonts w:eastAsia="Arial Unicode MS" w:cs="Arial"/>
        </w:rPr>
        <w:t xml:space="preserve"> all</w:t>
      </w:r>
      <w:r>
        <w:rPr>
          <w:rFonts w:eastAsia="Arial Unicode MS" w:cs="Arial"/>
        </w:rPr>
        <w:t xml:space="preserve"> had to</w:t>
      </w:r>
      <w:r w:rsidRPr="008329A7">
        <w:rPr>
          <w:rFonts w:eastAsia="Arial Unicode MS" w:cs="Arial"/>
        </w:rPr>
        <w:t xml:space="preserve"> sell the same products</w:t>
      </w:r>
      <w:r>
        <w:rPr>
          <w:rFonts w:eastAsia="Arial Unicode MS" w:cs="Arial"/>
        </w:rPr>
        <w:t xml:space="preserve"> at the same price</w:t>
      </w:r>
      <w:r w:rsidRPr="008329A7">
        <w:rPr>
          <w:rFonts w:eastAsia="Arial Unicode MS" w:cs="Arial"/>
        </w:rPr>
        <w:t>. This lack of differentiation was one of the main driving forces that pushed Sights and Sounds into bankruptcy in 1971. So when Eddie Antar took over the company and renamed it Crazy Eddie, he decided to disrega</w:t>
      </w:r>
      <w:r>
        <w:rPr>
          <w:rFonts w:eastAsia="Arial Unicode MS" w:cs="Arial"/>
        </w:rPr>
        <w:t xml:space="preserve">rd the fair trade laws and </w:t>
      </w:r>
      <w:r w:rsidRPr="008329A7">
        <w:rPr>
          <w:rFonts w:eastAsia="Arial Unicode MS" w:cs="Arial"/>
        </w:rPr>
        <w:t>sell his products</w:t>
      </w:r>
      <w:r>
        <w:rPr>
          <w:rFonts w:eastAsia="Arial Unicode MS" w:cs="Arial"/>
        </w:rPr>
        <w:t xml:space="preserve"> at a lower price</w:t>
      </w:r>
      <w:r w:rsidRPr="008329A7">
        <w:rPr>
          <w:rFonts w:eastAsia="Arial Unicode MS" w:cs="Arial"/>
        </w:rPr>
        <w:t xml:space="preserve"> anyway. Manufacturers found out about this underselling of their products and retaliated against Crazy Eddie by refusing to sell their pr</w:t>
      </w:r>
      <w:r>
        <w:rPr>
          <w:rFonts w:eastAsia="Arial Unicode MS" w:cs="Arial"/>
        </w:rPr>
        <w:t>oducts to the company. This</w:t>
      </w:r>
      <w:r w:rsidRPr="008329A7">
        <w:rPr>
          <w:rFonts w:eastAsia="Arial Unicode MS" w:cs="Arial"/>
        </w:rPr>
        <w:t xml:space="preserve"> forced Eddie Antar to purchase his merchandise from other retailers, as well as from overseas. Of course it was illegal to violate the fair trade laws that every other company had to abide by and it was also illegal to sell products from manufacturers against their will. This violation of rules should have been a warning sign to the SEC and future auditors. It is no coincidence that Crazy Eddie was obtaining their merchandise to sell illegally in 1971, and then in 198</w:t>
      </w:r>
      <w:r>
        <w:rPr>
          <w:rFonts w:eastAsia="Arial Unicode MS" w:cs="Arial"/>
        </w:rPr>
        <w:t>4</w:t>
      </w:r>
      <w:r w:rsidRPr="008329A7">
        <w:rPr>
          <w:rFonts w:eastAsia="Arial Unicode MS" w:cs="Arial"/>
        </w:rPr>
        <w:t xml:space="preserve"> they were leading one of the biggest inventory frauds in</w:t>
      </w:r>
      <w:r>
        <w:rPr>
          <w:rFonts w:eastAsia="Arial Unicode MS" w:cs="Arial"/>
        </w:rPr>
        <w:t xml:space="preserve"> US</w:t>
      </w:r>
      <w:r w:rsidRPr="008329A7">
        <w:rPr>
          <w:rFonts w:eastAsia="Arial Unicode MS" w:cs="Arial"/>
        </w:rPr>
        <w:t xml:space="preserve"> history. It is interesting to see how Crazy Eddie began their company with illegal activity involving inventory and that it took auditors and pr</w:t>
      </w:r>
      <w:r>
        <w:rPr>
          <w:rFonts w:eastAsia="Arial Unicode MS" w:cs="Arial"/>
        </w:rPr>
        <w:t>ofessionally trained fraud examiners fifteen</w:t>
      </w:r>
      <w:r w:rsidR="002F3676">
        <w:rPr>
          <w:rFonts w:eastAsia="Arial Unicode MS" w:cs="Arial"/>
        </w:rPr>
        <w:t xml:space="preserve"> years to realize</w:t>
      </w:r>
      <w:r w:rsidRPr="008329A7">
        <w:rPr>
          <w:rFonts w:eastAsia="Arial Unicode MS" w:cs="Arial"/>
        </w:rPr>
        <w:t xml:space="preserve"> that Crazy Eddie was a company based on fraud. </w:t>
      </w:r>
    </w:p>
    <w:p w:rsidR="00C14DF9" w:rsidRDefault="00C14DF9" w:rsidP="00C14DF9">
      <w:pPr>
        <w:rPr>
          <w:rFonts w:eastAsia="Arial Unicode MS" w:cs="Arial"/>
        </w:rPr>
      </w:pPr>
      <w:r w:rsidRPr="008329A7">
        <w:rPr>
          <w:rFonts w:eastAsia="Arial Unicode MS" w:cs="Arial"/>
        </w:rPr>
        <w:tab/>
        <w:t>Aside from the lack of adhering to the fair trade laws, Crazy Eddie had severa</w:t>
      </w:r>
      <w:r w:rsidR="002F3676">
        <w:rPr>
          <w:rFonts w:eastAsia="Arial Unicode MS" w:cs="Arial"/>
        </w:rPr>
        <w:t>l glaring red flags that should ha</w:t>
      </w:r>
      <w:r>
        <w:rPr>
          <w:rFonts w:eastAsia="Arial Unicode MS" w:cs="Arial"/>
        </w:rPr>
        <w:t>ve been noticed</w:t>
      </w:r>
      <w:r w:rsidRPr="008329A7">
        <w:rPr>
          <w:rFonts w:eastAsia="Arial Unicode MS" w:cs="Arial"/>
        </w:rPr>
        <w:t xml:space="preserve"> by auditors long before they actually were detected. </w:t>
      </w:r>
      <w:r>
        <w:rPr>
          <w:rFonts w:eastAsia="Arial Unicode MS" w:cs="Arial"/>
        </w:rPr>
        <w:t xml:space="preserve">The red flags that were separate from the financial statements included the fact that the entire Crazy Eddie company only depended on three suppliers, despite </w:t>
      </w:r>
      <w:r>
        <w:rPr>
          <w:rFonts w:eastAsia="Arial Unicode MS" w:cs="Arial"/>
        </w:rPr>
        <w:lastRenderedPageBreak/>
        <w:t>its enormous size when it went public, the fact that all employees that had high positions in the company were family members that were not qualified to hold the positions that they held, and the fact that employees insisted on counting the inventory during audits every time</w:t>
      </w:r>
      <w:r>
        <w:rPr>
          <w:rStyle w:val="FootnoteReference"/>
          <w:rFonts w:eastAsia="Arial Unicode MS" w:cs="Arial"/>
        </w:rPr>
        <w:footnoteReference w:id="5"/>
      </w:r>
      <w:r>
        <w:rPr>
          <w:rFonts w:eastAsia="Arial Unicode MS" w:cs="Arial"/>
        </w:rPr>
        <w:t>.</w:t>
      </w:r>
    </w:p>
    <w:p w:rsidR="00C14DF9" w:rsidRDefault="00C14DF9" w:rsidP="00C14DF9">
      <w:pPr>
        <w:ind w:firstLine="720"/>
        <w:rPr>
          <w:rFonts w:eastAsia="Arial Unicode MS" w:cs="Arial"/>
        </w:rPr>
      </w:pPr>
      <w:r>
        <w:rPr>
          <w:rFonts w:eastAsia="Arial Unicode MS" w:cs="Arial"/>
        </w:rPr>
        <w:t xml:space="preserve"> At the time Crazy Eddie went public in 1984, they had 43 stores opened in the New York Metropolitan area; at this time, however, they only had three suppliers listed on their records</w:t>
      </w:r>
      <w:r>
        <w:rPr>
          <w:rStyle w:val="FootnoteReference"/>
          <w:rFonts w:eastAsia="Arial Unicode MS" w:cs="Arial"/>
        </w:rPr>
        <w:footnoteReference w:id="6"/>
      </w:r>
      <w:r>
        <w:rPr>
          <w:rFonts w:eastAsia="Arial Unicode MS" w:cs="Arial"/>
        </w:rPr>
        <w:t>. This would mean that for every one supplier they had, approximately 14 stores were being supported. Since Crazy Eddie was reporting such high revenues, it can be assumed that they were selling large amount of inventory. This makes it very unlikely that just three suppliers were able to support all of these sales. This should have been a red flag to auditors to investigate Crazy Eddie’s inventory closer as well as to verify that the suppliers that were providing Crazy Eddie with their merchandise were legitimate. This was a red flag that should have been observable from Crazy Eddie’s Initial Public Offering (IPO), which took place in 1984.</w:t>
      </w:r>
    </w:p>
    <w:p w:rsidR="00C14DF9" w:rsidRDefault="00C14DF9" w:rsidP="00C14DF9">
      <w:pPr>
        <w:ind w:firstLine="720"/>
        <w:rPr>
          <w:rFonts w:eastAsia="Arial Unicode MS" w:cs="Arial"/>
        </w:rPr>
      </w:pPr>
      <w:r>
        <w:rPr>
          <w:rFonts w:eastAsia="Arial Unicode MS" w:cs="Arial"/>
        </w:rPr>
        <w:t>Every high ranking employee in the Crazy Eddie Company had some sort of relation to Eddie Antar. None of his employees were independent from one another, or from Eddie, and most of them were not even qualified for the executive positions that they held</w:t>
      </w:r>
      <w:r>
        <w:rPr>
          <w:rStyle w:val="FootnoteReference"/>
          <w:rFonts w:eastAsia="Arial Unicode MS" w:cs="Arial"/>
        </w:rPr>
        <w:footnoteReference w:id="7"/>
      </w:r>
      <w:r>
        <w:rPr>
          <w:rFonts w:eastAsia="Arial Unicode MS" w:cs="Arial"/>
        </w:rPr>
        <w:t xml:space="preserve">. The most troubling family member that was working for him, however, was his cousin Sam Antar. Eddie Antar paid for his cousin to attend college and study accounting, and then only two years after graduating he made him the Chief Financial Officer of Crazy Eddie. Even though Sam Antar had studied accounting in college, he </w:t>
      </w:r>
      <w:r>
        <w:rPr>
          <w:rFonts w:eastAsia="Arial Unicode MS" w:cs="Arial"/>
        </w:rPr>
        <w:lastRenderedPageBreak/>
        <w:t xml:space="preserve">was still vastly unprepared and inexperienced to become a CFO of a company that was preparing to go public and was making millions of dollars in revenue every year. Aside from the fact that Sam Antar was an unqualified CFO, he was also working at Penn &amp; Horowitz, Crazy Eddie’s auditing firm. Sam Antar had complete control over the audits of Crazy Eddie that were performed during the years 1981 to 1984. Since auditing standards forbids that an individual works for both a company and its auditing firm, Eddie Antar was paying Sam Antar off the books so that he did not have to list him as an employee. Despite the fact that both Sam and Eddie have the same last name, Penn &amp; Horowitz should have collected enough information about Sam Antar to know that he was related to Eddie Antar and that he had at last worked there in the past. If Penn &amp; Horowitz had collected this information they </w:t>
      </w:r>
      <w:r w:rsidR="002F3676">
        <w:rPr>
          <w:rFonts w:eastAsia="Arial Unicode MS" w:cs="Arial"/>
        </w:rPr>
        <w:t>would have</w:t>
      </w:r>
      <w:r>
        <w:rPr>
          <w:rFonts w:eastAsia="Arial Unicode MS" w:cs="Arial"/>
        </w:rPr>
        <w:t xml:space="preserve"> seen that there was no way that Sam Antar could remain independent in his work and deliver a clean audit report. Had Penn &amp; Horowitz realized this, Sam Antar may not have been able to manipulate the financial reports for Crazy Eddie in the early 1980’s and the fraud may have been discovered before the company ever went public in 1984.</w:t>
      </w:r>
    </w:p>
    <w:p w:rsidR="00C14DF9" w:rsidRDefault="00C14DF9" w:rsidP="00C14DF9">
      <w:pPr>
        <w:ind w:firstLine="720"/>
        <w:rPr>
          <w:rFonts w:eastAsia="Arial Unicode MS" w:cs="Arial"/>
        </w:rPr>
      </w:pPr>
      <w:r>
        <w:rPr>
          <w:rFonts w:eastAsia="Arial Unicode MS" w:cs="Arial"/>
        </w:rPr>
        <w:t xml:space="preserve">Crazy Eddie reported inventory that was vastly overstated, and it was not discovered by auditors until 1987. The red flag that was present here </w:t>
      </w:r>
      <w:r w:rsidR="002F3676">
        <w:rPr>
          <w:rFonts w:eastAsia="Arial Unicode MS" w:cs="Arial"/>
        </w:rPr>
        <w:t>would have</w:t>
      </w:r>
      <w:r>
        <w:rPr>
          <w:rFonts w:eastAsia="Arial Unicode MS" w:cs="Arial"/>
        </w:rPr>
        <w:t xml:space="preserve"> never been present if auditors performed their jobs correctly. The Crazy Eddie employees were always so anxious to count their own inventory for auditors and insisted that the auditor in attendance just believe their numbers as true. It is standard procedure during an audit for the auditor to count inventory themselves and to only have the employees present their data, not have the employees count it themselves. For the auditor to not only allow the employees to count their own inventory, but to then issue them a clean </w:t>
      </w:r>
      <w:r>
        <w:rPr>
          <w:rFonts w:eastAsia="Arial Unicode MS" w:cs="Arial"/>
        </w:rPr>
        <w:lastRenderedPageBreak/>
        <w:t xml:space="preserve">audit report was a lack of competence and independence from the auditors. The auditor </w:t>
      </w:r>
      <w:r w:rsidR="002F3676">
        <w:rPr>
          <w:rFonts w:eastAsia="Arial Unicode MS" w:cs="Arial"/>
        </w:rPr>
        <w:t>should have</w:t>
      </w:r>
      <w:r>
        <w:rPr>
          <w:rFonts w:eastAsia="Arial Unicode MS" w:cs="Arial"/>
        </w:rPr>
        <w:t xml:space="preserve"> identified the persistence by Crazy Eddie employees to be so helpful as a red flag and instead of accepting the help, the auditor </w:t>
      </w:r>
      <w:r w:rsidR="002F3676">
        <w:rPr>
          <w:rFonts w:eastAsia="Arial Unicode MS" w:cs="Arial"/>
        </w:rPr>
        <w:t>should have</w:t>
      </w:r>
      <w:r>
        <w:rPr>
          <w:rFonts w:eastAsia="Arial Unicode MS" w:cs="Arial"/>
        </w:rPr>
        <w:t xml:space="preserve"> delved deeper to try and discover the reason for their helpfulness.</w:t>
      </w:r>
    </w:p>
    <w:p w:rsidR="00C14DF9" w:rsidRDefault="00C14DF9" w:rsidP="00C14DF9">
      <w:pPr>
        <w:ind w:firstLine="720"/>
        <w:rPr>
          <w:rFonts w:eastAsia="Arial Unicode MS" w:cs="Arial"/>
        </w:rPr>
      </w:pPr>
      <w:r>
        <w:rPr>
          <w:rFonts w:eastAsia="Arial Unicode MS" w:cs="Arial"/>
        </w:rPr>
        <w:t xml:space="preserve"> There were many red flags that </w:t>
      </w:r>
      <w:r w:rsidR="002F3676">
        <w:rPr>
          <w:rFonts w:eastAsia="Arial Unicode MS" w:cs="Arial"/>
        </w:rPr>
        <w:t>should have</w:t>
      </w:r>
      <w:r>
        <w:rPr>
          <w:rFonts w:eastAsia="Arial Unicode MS" w:cs="Arial"/>
        </w:rPr>
        <w:t xml:space="preserve"> been identified and investigated by the auditor deeper. However, the three red flags previously mentioned involving the business operations were not the only glaring problems within Crazy Eddie. With all publically traded companies, the financial statements are analyzed intensely by auditors every year to make sure the statements are in compliance with GAAP, to make sure they are free of material misstatements, and to check if there are any abnormal trends that could indicate fraud. Crazy Eddie had several things that were wrong with their financial statements that </w:t>
      </w:r>
      <w:r w:rsidR="002F3676">
        <w:rPr>
          <w:rFonts w:eastAsia="Arial Unicode MS" w:cs="Arial"/>
        </w:rPr>
        <w:t>could have</w:t>
      </w:r>
      <w:r>
        <w:rPr>
          <w:rFonts w:eastAsia="Arial Unicode MS" w:cs="Arial"/>
        </w:rPr>
        <w:t xml:space="preserve"> and </w:t>
      </w:r>
      <w:r w:rsidR="002F3676">
        <w:rPr>
          <w:rFonts w:eastAsia="Arial Unicode MS" w:cs="Arial"/>
        </w:rPr>
        <w:t>should have</w:t>
      </w:r>
      <w:r>
        <w:rPr>
          <w:rFonts w:eastAsia="Arial Unicode MS" w:cs="Arial"/>
        </w:rPr>
        <w:t xml:space="preserve"> been identified by auditors. The red flags that were evident on their financial statements were the actual percent changes in inventory from one year to the next with regards to the percent changes to sales, the amount that accounts payable was understated, the vast changes in Days-Sales-Inventory from one year to the next, and the vast change in the accounts payable to inventory ratio</w:t>
      </w:r>
      <w:r>
        <w:rPr>
          <w:rStyle w:val="FootnoteReference"/>
          <w:rFonts w:eastAsia="Arial Unicode MS" w:cs="Arial"/>
        </w:rPr>
        <w:footnoteReference w:id="8"/>
      </w:r>
      <w:r>
        <w:rPr>
          <w:rFonts w:eastAsia="Arial Unicode MS" w:cs="Arial"/>
        </w:rPr>
        <w:t xml:space="preserve">. During the years that Crazy Eddie was a publically traded company that was being audited every year, there were vast overstatements and some very abnormal trends within the financial statements that </w:t>
      </w:r>
      <w:r w:rsidR="002F3676">
        <w:rPr>
          <w:rFonts w:eastAsia="Arial Unicode MS" w:cs="Arial"/>
        </w:rPr>
        <w:t>should have</w:t>
      </w:r>
      <w:r>
        <w:rPr>
          <w:rFonts w:eastAsia="Arial Unicode MS" w:cs="Arial"/>
        </w:rPr>
        <w:t xml:space="preserve"> been identified by a trained auditor.</w:t>
      </w:r>
    </w:p>
    <w:p w:rsidR="00C14DF9" w:rsidRDefault="00C14DF9" w:rsidP="00C14DF9">
      <w:pPr>
        <w:ind w:firstLine="720"/>
        <w:rPr>
          <w:rFonts w:eastAsia="Arial Unicode MS" w:cs="Arial"/>
        </w:rPr>
      </w:pPr>
      <w:r>
        <w:rPr>
          <w:rFonts w:eastAsia="Arial Unicode MS" w:cs="Arial"/>
        </w:rPr>
        <w:t xml:space="preserve">In the year 1985, the second year that Crazy Eddie was a public company, it </w:t>
      </w:r>
      <w:r w:rsidR="002F3676">
        <w:rPr>
          <w:rFonts w:eastAsia="Arial Unicode MS" w:cs="Arial"/>
        </w:rPr>
        <w:t>should have</w:t>
      </w:r>
      <w:r>
        <w:rPr>
          <w:rFonts w:eastAsia="Arial Unicode MS" w:cs="Arial"/>
        </w:rPr>
        <w:t xml:space="preserve"> been obvious that something was wrong with the inventory reporting in the </w:t>
      </w:r>
      <w:r>
        <w:rPr>
          <w:rFonts w:eastAsia="Arial Unicode MS" w:cs="Arial"/>
        </w:rPr>
        <w:lastRenderedPageBreak/>
        <w:t>financial statements. In 1984, Crazy Eddie reported an increase of net sales of 22% and an increase of merchandise inventories of 14%</w:t>
      </w:r>
      <w:r>
        <w:rPr>
          <w:rStyle w:val="FootnoteReference"/>
          <w:rFonts w:eastAsia="Arial Unicode MS" w:cs="Arial"/>
        </w:rPr>
        <w:footnoteReference w:id="9"/>
      </w:r>
      <w:r>
        <w:rPr>
          <w:rFonts w:eastAsia="Arial Unicode MS" w:cs="Arial"/>
        </w:rPr>
        <w:t xml:space="preserve">. While this percent change is not a red flag because it is a very possible situation, it is what happens the year after that </w:t>
      </w:r>
      <w:r w:rsidR="002F3676">
        <w:rPr>
          <w:rFonts w:eastAsia="Arial Unicode MS" w:cs="Arial"/>
        </w:rPr>
        <w:t>should have</w:t>
      </w:r>
      <w:r>
        <w:rPr>
          <w:rFonts w:eastAsia="Arial Unicode MS" w:cs="Arial"/>
        </w:rPr>
        <w:t xml:space="preserve"> alerted auditors. In 1985 Crazy Eddie reported an increase of net sales of about 57% and an increase of merchandise inventories by an incredible 126%</w:t>
      </w:r>
      <w:r>
        <w:rPr>
          <w:rStyle w:val="FootnoteReference"/>
          <w:rFonts w:eastAsia="Arial Unicode MS" w:cs="Arial"/>
        </w:rPr>
        <w:footnoteReference w:id="10"/>
      </w:r>
      <w:r>
        <w:rPr>
          <w:rFonts w:eastAsia="Arial Unicode MS" w:cs="Arial"/>
        </w:rPr>
        <w:t>. While it is already uncommon for inventory to increase faster in sales, an increase in inventory that is two and a half times higher than the increase in sales should have really alerted auditors to a problem. A simple horizontal analysis of the reported inventories and sales for the two years could have showcased this abnormality, but the auditors failed to notice and the rather obvious discrepancies continued for several more years before falling apart in 1987. In 1986 Crazy Eddie reported an increase of net sales of about 34% from the previous year, and an increase in merchandise inventory of about 82%. Once again Crazy Eddie reported their inventory to not only increase faster than their sales, but the percent change was two and a half times larger than the increase in sales. In 1987 before Eddie Antar sold his shares and fled the country, it was estimated that he was able to inflate his consolidated inventories by a staggering $22.5 to $28 million dollars</w:t>
      </w:r>
      <w:r>
        <w:rPr>
          <w:rStyle w:val="FootnoteReference"/>
          <w:rFonts w:eastAsia="Arial Unicode MS" w:cs="Arial"/>
        </w:rPr>
        <w:footnoteReference w:id="11"/>
      </w:r>
      <w:r>
        <w:rPr>
          <w:rFonts w:eastAsia="Arial Unicode MS" w:cs="Arial"/>
        </w:rPr>
        <w:t xml:space="preserve">. If auditors had caught the blatant inventory fraud in 1984 then the tens of millions of dollars in fraud in later years </w:t>
      </w:r>
      <w:r w:rsidR="002F3676">
        <w:rPr>
          <w:rFonts w:eastAsia="Arial Unicode MS" w:cs="Arial"/>
        </w:rPr>
        <w:t>would have</w:t>
      </w:r>
      <w:r>
        <w:rPr>
          <w:rFonts w:eastAsia="Arial Unicode MS" w:cs="Arial"/>
        </w:rPr>
        <w:t xml:space="preserve"> never have happened. </w:t>
      </w:r>
    </w:p>
    <w:p w:rsidR="00C14DF9" w:rsidRPr="008329A7" w:rsidRDefault="00C14DF9" w:rsidP="00C14DF9">
      <w:pPr>
        <w:ind w:firstLine="720"/>
        <w:rPr>
          <w:rFonts w:eastAsia="Arial Unicode MS" w:cs="Arial"/>
        </w:rPr>
      </w:pPr>
      <w:r>
        <w:rPr>
          <w:rFonts w:eastAsia="Arial Unicode MS" w:cs="Arial"/>
        </w:rPr>
        <w:t xml:space="preserve">About six months after Crazy Eddie first went public, Eddie Antar knew that to maintain his upward trend in stock price he would have to start manipulating the </w:t>
      </w:r>
      <w:r>
        <w:rPr>
          <w:rFonts w:eastAsia="Arial Unicode MS" w:cs="Arial"/>
        </w:rPr>
        <w:lastRenderedPageBreak/>
        <w:t>financial statements</w:t>
      </w:r>
      <w:r>
        <w:rPr>
          <w:rStyle w:val="FootnoteReference"/>
          <w:rFonts w:eastAsia="Arial Unicode MS" w:cs="Arial"/>
        </w:rPr>
        <w:footnoteReference w:id="12"/>
      </w:r>
      <w:r>
        <w:rPr>
          <w:rFonts w:eastAsia="Arial Unicode MS" w:cs="Arial"/>
        </w:rPr>
        <w:t>. By understating accounts payable and overstating inventory Eddie Antar was able to substantially increase reported profits for each year. In 1986 Eddie Antar understated accounts payable by about $3 to $4 million. Then in 1987, before selling all of his shares and fleeing, Eddie Antar underestimated accounts payable by a staggering $26 to $29 million dollars to increase profits</w:t>
      </w:r>
      <w:r>
        <w:rPr>
          <w:rStyle w:val="FootnoteReference"/>
          <w:rFonts w:eastAsia="Arial Unicode MS" w:cs="Arial"/>
        </w:rPr>
        <w:footnoteReference w:id="13"/>
      </w:r>
      <w:r>
        <w:rPr>
          <w:rFonts w:eastAsia="Arial Unicode MS" w:cs="Arial"/>
        </w:rPr>
        <w:t>. Eddie Antar managed to keep the accounts payable to inventory ratio pretty steady from 1984 through 1986, helping it maintain an average around the 85% range. Then in 1987, when Eddie was planning to sell out and eventually flee, the profit was made to look as high as possible so Eddie could boost stock prices and really cash in</w:t>
      </w:r>
      <w:r>
        <w:rPr>
          <w:rStyle w:val="FootnoteReference"/>
          <w:rFonts w:eastAsia="Arial Unicode MS" w:cs="Arial"/>
        </w:rPr>
        <w:footnoteReference w:id="14"/>
      </w:r>
      <w:r>
        <w:rPr>
          <w:rFonts w:eastAsia="Arial Unicode MS" w:cs="Arial"/>
        </w:rPr>
        <w:t>. For the year 1987, Eddie Antar reported a decrease of accounts payable of about $1,700, which brought it down to about $50,000. Meanwhile in this same year, Eddie Antar reported an increase in inventories of about $50,000, which brought it up to about $109,000. An auditor should have right away noticed a discrepancy in the fact that inventories went up and accounts payable somehow went down. In the year 1987 the accounts payable to inventory ratio went from 86.4% to 45.9%, nearly getting cut in half</w:t>
      </w:r>
      <w:r>
        <w:rPr>
          <w:rStyle w:val="FootnoteReference"/>
          <w:rFonts w:eastAsia="Arial Unicode MS" w:cs="Arial"/>
        </w:rPr>
        <w:t>13</w:t>
      </w:r>
      <w:r>
        <w:rPr>
          <w:rFonts w:eastAsia="Arial Unicode MS" w:cs="Arial"/>
        </w:rPr>
        <w:t xml:space="preserve">. Eddie Antar was still working at Crazy Eddie for most of 1987, and did not flee to Israel until February of 1990. Auditors </w:t>
      </w:r>
      <w:r w:rsidR="002F3676">
        <w:rPr>
          <w:rFonts w:eastAsia="Arial Unicode MS" w:cs="Arial"/>
        </w:rPr>
        <w:t>should have</w:t>
      </w:r>
      <w:r>
        <w:rPr>
          <w:rFonts w:eastAsia="Arial Unicode MS" w:cs="Arial"/>
        </w:rPr>
        <w:t xml:space="preserve"> recognized these trends long before 1987 and he should have never been able to leave the country at all.</w:t>
      </w:r>
    </w:p>
    <w:p w:rsidR="00C14DF9" w:rsidRDefault="00C14DF9" w:rsidP="00C14DF9">
      <w:pPr>
        <w:rPr>
          <w:rFonts w:eastAsia="Arial Unicode MS" w:cs="Arial"/>
        </w:rPr>
      </w:pPr>
      <w:r>
        <w:rPr>
          <w:rFonts w:eastAsia="Arial Unicode MS" w:cs="Arial"/>
        </w:rPr>
        <w:tab/>
        <w:t>As with the accounts payable to inventory ratio, Eddie Antar was able to keep the Days-Sales-Inventory ratio relatively steady and consistent for a few years before it too got out of control. For the years 1984 and 1985 Crazy Eddie had the same exact Days-</w:t>
      </w:r>
      <w:r>
        <w:rPr>
          <w:rFonts w:eastAsia="Arial Unicode MS" w:cs="Arial"/>
        </w:rPr>
        <w:lastRenderedPageBreak/>
        <w:t>Sales-Inventory ratio of 69.2 days. Then in 1986 it jumped up 11 days to 80.9 days, and then it jumped again in 1987 up to 112.9 days</w:t>
      </w:r>
      <w:r>
        <w:rPr>
          <w:rStyle w:val="FootnoteReference"/>
          <w:rFonts w:eastAsia="Arial Unicode MS" w:cs="Arial"/>
        </w:rPr>
        <w:t>13</w:t>
      </w:r>
      <w:r>
        <w:rPr>
          <w:rFonts w:eastAsia="Arial Unicode MS" w:cs="Arial"/>
        </w:rPr>
        <w:t>. The Days-Sales-Inventory ratio is calculated by dividing the average inventory by the cost of goods sold, and then multiplying that number by the number of days in the period. From 1985 to 1986, Eddie Antar reported that the costs of goods sold went up about 52%, and that inventories went up over 126%</w:t>
      </w:r>
      <w:r>
        <w:rPr>
          <w:rStyle w:val="FootnoteReference"/>
          <w:rFonts w:eastAsia="Arial Unicode MS" w:cs="Arial"/>
        </w:rPr>
        <w:footnoteReference w:id="15"/>
      </w:r>
      <w:r>
        <w:rPr>
          <w:rFonts w:eastAsia="Arial Unicode MS" w:cs="Arial"/>
        </w:rPr>
        <w:t>. This drastic jump in inventories is what had caused the Days-Sales-Inventory ratio to go up over 15% in just one year. Then in 1987, Crazy Eddie reported an increase of about 40% for cost of goods sold from the previous year, and also reported an increase of about 82% in inventories from the previous year. Once again Eddie Antar had his inventories increase at a rate that was twice as fast as his costs of goods sold, and this caused the Days-Sales-Inventory ratio to once again jump an astounding 28% in one year</w:t>
      </w:r>
      <w:r>
        <w:rPr>
          <w:rStyle w:val="FootnoteReference"/>
          <w:rFonts w:eastAsia="Arial Unicode MS" w:cs="Arial"/>
        </w:rPr>
        <w:t>14</w:t>
      </w:r>
      <w:r>
        <w:rPr>
          <w:rFonts w:eastAsia="Arial Unicode MS" w:cs="Arial"/>
        </w:rPr>
        <w:t>. These very large and very uncharacteristic changes should have also alerted auditors to either a misstatement in inventories or the costs of goods sold. It took the auditors until the end of 1987 to realize what had been done, and at this point tens of millions of dollars had already been stolen by Eddie Antar and his family.</w:t>
      </w:r>
    </w:p>
    <w:p w:rsidR="00C14DF9" w:rsidRDefault="00C14DF9" w:rsidP="004744A6">
      <w:pPr>
        <w:ind w:firstLine="720"/>
        <w:rPr>
          <w:rFonts w:eastAsia="Arial Unicode MS" w:cs="Arial"/>
        </w:rPr>
      </w:pPr>
      <w:r>
        <w:rPr>
          <w:rFonts w:eastAsia="Arial Unicode MS" w:cs="Arial"/>
        </w:rPr>
        <w:t>The Crazy Eddie fraud was one of the biggest fraud schemes of the 1980’s. This particular fraud began to come to an end in 1987, which was about fifteen years before the Sarbanes-Oxley law was put in place. The SOX act is the reason that the Public Company Accounting Oversight Board (PCAOB) was formed, and the reason that auditors are held to stricter auditing standards today as well</w:t>
      </w:r>
      <w:r>
        <w:rPr>
          <w:rStyle w:val="FootnoteReference"/>
          <w:rFonts w:eastAsia="Arial Unicode MS" w:cs="Arial"/>
        </w:rPr>
        <w:footnoteReference w:id="16"/>
      </w:r>
      <w:r>
        <w:rPr>
          <w:rFonts w:eastAsia="Arial Unicode MS" w:cs="Arial"/>
        </w:rPr>
        <w:t xml:space="preserve">. The PCAOB was created </w:t>
      </w:r>
      <w:r>
        <w:rPr>
          <w:rFonts w:eastAsia="Arial Unicode MS" w:cs="Arial"/>
        </w:rPr>
        <w:lastRenderedPageBreak/>
        <w:t xml:space="preserve">as a part of the Sarbanes-Oxley act in 2002, and it was tasked with overseeing the audits of public companies to make sure that everything is being done correctly. </w:t>
      </w:r>
    </w:p>
    <w:p w:rsidR="00657029" w:rsidRDefault="00657029" w:rsidP="0073246F">
      <w:pPr>
        <w:rPr>
          <w:rFonts w:eastAsia="Arial Unicode MS" w:cs="Arial"/>
        </w:rPr>
      </w:pPr>
    </w:p>
    <w:p w:rsidR="00657029" w:rsidRDefault="00657029" w:rsidP="00657029">
      <w:pPr>
        <w:pStyle w:val="Heading1"/>
        <w:rPr>
          <w:rFonts w:eastAsia="Arial Unicode MS"/>
        </w:rPr>
      </w:pPr>
      <w:bookmarkStart w:id="3" w:name="_Toc418848395"/>
      <w:r>
        <w:rPr>
          <w:rFonts w:eastAsia="Arial Unicode MS"/>
        </w:rPr>
        <w:t>The Sarbanes-Oxley Act</w:t>
      </w:r>
      <w:bookmarkEnd w:id="3"/>
    </w:p>
    <w:p w:rsidR="00657029" w:rsidRPr="00657029" w:rsidRDefault="00657029" w:rsidP="00657029">
      <w:pPr>
        <w:rPr>
          <w:lang w:eastAsia="ja-JP"/>
        </w:rPr>
      </w:pPr>
    </w:p>
    <w:p w:rsidR="00C14DF9" w:rsidRDefault="00C14DF9" w:rsidP="004744A6">
      <w:pPr>
        <w:ind w:firstLine="720"/>
        <w:rPr>
          <w:rFonts w:eastAsia="Arial Unicode MS" w:cs="Arial"/>
        </w:rPr>
      </w:pPr>
      <w:r>
        <w:rPr>
          <w:rFonts w:eastAsia="Arial Unicode MS" w:cs="Arial"/>
        </w:rPr>
        <w:t>Congress passed the Sarbanes-Oxley act in 2002 to protect investors from the possibility of fraud from publically traded companies. The SOX act enacted strict reforms to the auditing process that were aimed to improve financial disclosures an</w:t>
      </w:r>
      <w:r w:rsidR="00C81770">
        <w:rPr>
          <w:rFonts w:eastAsia="Arial Unicode MS" w:cs="Arial"/>
        </w:rPr>
        <w:t>d prevent fraud. There were eleven titles and sixty-eight section within these titles that were</w:t>
      </w:r>
      <w:r>
        <w:rPr>
          <w:rFonts w:eastAsia="Arial Unicode MS" w:cs="Arial"/>
        </w:rPr>
        <w:t xml:space="preserve"> included in the Sarbanes-Oxley act that were put in to address the many problems wrong with the audit process. Th</w:t>
      </w:r>
      <w:r w:rsidR="00C81770">
        <w:rPr>
          <w:rFonts w:eastAsia="Arial Unicode MS" w:cs="Arial"/>
        </w:rPr>
        <w:t>e</w:t>
      </w:r>
      <w:r w:rsidR="00D02A21">
        <w:rPr>
          <w:rFonts w:eastAsia="Arial Unicode MS" w:cs="Arial"/>
        </w:rPr>
        <w:t xml:space="preserve"> titles</w:t>
      </w:r>
      <w:r w:rsidR="00C81770">
        <w:rPr>
          <w:rFonts w:eastAsia="Arial Unicode MS" w:cs="Arial"/>
        </w:rPr>
        <w:t xml:space="preserve"> </w:t>
      </w:r>
      <w:r w:rsidR="00D02A21">
        <w:rPr>
          <w:rFonts w:eastAsia="Arial Unicode MS" w:cs="Arial"/>
        </w:rPr>
        <w:t>and their significance are as follows</w:t>
      </w:r>
      <w:r w:rsidR="00C81770">
        <w:rPr>
          <w:rFonts w:eastAsia="Arial Unicode MS" w:cs="Arial"/>
        </w:rPr>
        <w:t xml:space="preserve">: </w:t>
      </w:r>
      <w:r w:rsidR="00D02A21">
        <w:rPr>
          <w:rFonts w:eastAsia="Arial Unicode MS" w:cs="Arial"/>
        </w:rPr>
        <w:t>Tit</w:t>
      </w:r>
      <w:r w:rsidR="00C81770">
        <w:rPr>
          <w:rFonts w:eastAsia="Arial Unicode MS" w:cs="Arial"/>
        </w:rPr>
        <w:t xml:space="preserve">le I which outlined the creation and duties of the PCAOB, </w:t>
      </w:r>
      <w:r w:rsidR="00D02A21">
        <w:rPr>
          <w:rFonts w:eastAsia="Arial Unicode MS" w:cs="Arial"/>
        </w:rPr>
        <w:t xml:space="preserve">Title II which outlines the auditor independence standards, </w:t>
      </w:r>
      <w:r>
        <w:rPr>
          <w:rFonts w:eastAsia="Arial Unicode MS" w:cs="Arial"/>
        </w:rPr>
        <w:t xml:space="preserve"> </w:t>
      </w:r>
      <w:r w:rsidR="00D02A21">
        <w:rPr>
          <w:rFonts w:eastAsia="Arial Unicode MS" w:cs="Arial"/>
        </w:rPr>
        <w:t xml:space="preserve">Title III which outlines corporate responsibility and the duties of the CEO and CFO within publically traded companies, Title IV which outlines the enhanced reporting of financial figures by publically traded companies as well as </w:t>
      </w:r>
      <w:r w:rsidR="007027CD">
        <w:rPr>
          <w:rFonts w:eastAsia="Arial Unicode MS" w:cs="Arial"/>
        </w:rPr>
        <w:t xml:space="preserve">the requirements of increased internal controls to ensure accuracy, Title V which outlines the analysis of conflict of interests, Title VI which outlines the SEC’s authority to censure security officials from their practice, Title VII which requires the SEC to conduct studies on publically traded companies transactions and to report their findings, Title VIII which outlines the corporate accountability for fraud and the punishments they face, Title IX which increased the criminal penalties associated with white-collar crimes, Title X which requires that the CEO sign the company tax return, and Title XI which further outlines </w:t>
      </w:r>
      <w:r w:rsidR="007027CD">
        <w:rPr>
          <w:rFonts w:eastAsia="Arial Unicode MS" w:cs="Arial"/>
        </w:rPr>
        <w:lastRenderedPageBreak/>
        <w:t>corporate accountability and the criminal offenses that follow corporate fraud</w:t>
      </w:r>
      <w:r w:rsidR="004744A6">
        <w:rPr>
          <w:rStyle w:val="FootnoteReference"/>
          <w:rFonts w:eastAsia="Arial Unicode MS" w:cs="Arial"/>
        </w:rPr>
        <w:footnoteReference w:id="17"/>
      </w:r>
      <w:r w:rsidR="007027CD">
        <w:rPr>
          <w:rFonts w:eastAsia="Arial Unicode MS" w:cs="Arial"/>
        </w:rPr>
        <w:t xml:space="preserve">. </w:t>
      </w:r>
      <w:r w:rsidR="004744A6">
        <w:rPr>
          <w:rFonts w:eastAsia="Arial Unicode MS" w:cs="Arial"/>
        </w:rPr>
        <w:t xml:space="preserve">These eleven titles are an overview of what the Sarbanes-Oxley Act enacted and what their goal was with these reforms. The Crazy Eddie fraud took place before this act was ever enabled, however, even after the creation of the SOX act, fraud is still </w:t>
      </w:r>
      <w:r w:rsidR="00671F81">
        <w:rPr>
          <w:rFonts w:eastAsia="Arial Unicode MS" w:cs="Arial"/>
        </w:rPr>
        <w:t>possible. There</w:t>
      </w:r>
      <w:r w:rsidR="004744A6">
        <w:rPr>
          <w:rFonts w:eastAsia="Arial Unicode MS" w:cs="Arial"/>
        </w:rPr>
        <w:t xml:space="preserve"> have been several large frauds that have taken place since 2002 that have carried on much longer than they should have mainly due to an auditors lack of professionalism.</w:t>
      </w:r>
    </w:p>
    <w:p w:rsidR="00657029" w:rsidRDefault="00657029" w:rsidP="00657029">
      <w:pPr>
        <w:pStyle w:val="Heading1"/>
        <w:rPr>
          <w:rFonts w:eastAsia="Arial Unicode MS"/>
        </w:rPr>
      </w:pPr>
      <w:bookmarkStart w:id="4" w:name="_Toc418848396"/>
      <w:r>
        <w:rPr>
          <w:rFonts w:eastAsia="Arial Unicode MS"/>
        </w:rPr>
        <w:t>MF Global</w:t>
      </w:r>
      <w:bookmarkEnd w:id="4"/>
    </w:p>
    <w:p w:rsidR="00657029" w:rsidRPr="00657029" w:rsidRDefault="00657029" w:rsidP="00657029">
      <w:pPr>
        <w:rPr>
          <w:lang w:eastAsia="ja-JP"/>
        </w:rPr>
      </w:pPr>
    </w:p>
    <w:p w:rsidR="00C14DF9" w:rsidRDefault="00790387" w:rsidP="00657029">
      <w:pPr>
        <w:ind w:firstLine="720"/>
        <w:rPr>
          <w:rFonts w:eastAsia="Arial Unicode MS" w:cs="Arial"/>
        </w:rPr>
      </w:pPr>
      <w:r>
        <w:rPr>
          <w:rFonts w:eastAsia="Arial Unicode MS" w:cs="Arial"/>
        </w:rPr>
        <w:t>One</w:t>
      </w:r>
      <w:r w:rsidR="00E70D5A">
        <w:rPr>
          <w:rFonts w:eastAsia="Arial Unicode MS" w:cs="Arial"/>
        </w:rPr>
        <w:t xml:space="preserve"> of the</w:t>
      </w:r>
      <w:r>
        <w:rPr>
          <w:rFonts w:eastAsia="Arial Unicode MS" w:cs="Arial"/>
        </w:rPr>
        <w:t xml:space="preserve"> prominent fraud</w:t>
      </w:r>
      <w:r w:rsidR="00E70D5A">
        <w:rPr>
          <w:rFonts w:eastAsia="Arial Unicode MS" w:cs="Arial"/>
        </w:rPr>
        <w:t>s</w:t>
      </w:r>
      <w:r>
        <w:rPr>
          <w:rFonts w:eastAsia="Arial Unicode MS" w:cs="Arial"/>
        </w:rPr>
        <w:t xml:space="preserve"> that took place after the creation of the Sarbanes-Oxley act is the one that was committed by the company MF Global.</w:t>
      </w:r>
      <w:r w:rsidR="00C05882">
        <w:rPr>
          <w:rFonts w:eastAsia="Arial Unicode MS" w:cs="Arial"/>
        </w:rPr>
        <w:t xml:space="preserve"> MF Global was a very large brokerage firm that had $41 million in assets before going bankrupt</w:t>
      </w:r>
      <w:r w:rsidR="00C05882">
        <w:rPr>
          <w:rStyle w:val="FootnoteReference"/>
          <w:rFonts w:eastAsia="Arial Unicode MS" w:cs="Arial"/>
        </w:rPr>
        <w:footnoteReference w:id="18"/>
      </w:r>
      <w:r w:rsidR="00C05882">
        <w:rPr>
          <w:rFonts w:eastAsia="Arial Unicode MS" w:cs="Arial"/>
        </w:rPr>
        <w:t xml:space="preserve">. </w:t>
      </w:r>
      <w:r>
        <w:rPr>
          <w:rFonts w:eastAsia="Arial Unicode MS" w:cs="Arial"/>
        </w:rPr>
        <w:t xml:space="preserve"> </w:t>
      </w:r>
      <w:r w:rsidR="00E70D5A">
        <w:rPr>
          <w:rFonts w:eastAsia="Arial Unicode MS" w:cs="Arial"/>
        </w:rPr>
        <w:t>Like with the Crazy Eddie fraud, auditors as well as accountants missed red flags that would have alerted them to a fraud long before it was actually discovered.</w:t>
      </w:r>
      <w:r w:rsidR="005154C6">
        <w:rPr>
          <w:rFonts w:eastAsia="Arial Unicode MS" w:cs="Arial"/>
        </w:rPr>
        <w:t xml:space="preserve"> </w:t>
      </w:r>
      <w:r w:rsidR="006D0644">
        <w:rPr>
          <w:rFonts w:eastAsia="Arial Unicode MS" w:cs="Arial"/>
        </w:rPr>
        <w:t xml:space="preserve">On October 31, 2011 MF Global filed for bankruptcy, and at this time their Chairman and Chief Executive Officer was Jon Corzine. Corzine was formerly the Chairman of Goldman Sachs as well as a former Senator and then Governor. It is believed that he was able to steal about $1.6 billion in customer assets before MF Global had to file for bankruptcy in 2011. Jon Corzine was appointed CEO in March of 2010, so his theft of customer assets lasted about nineteen months in total. </w:t>
      </w:r>
    </w:p>
    <w:p w:rsidR="006D0644" w:rsidRDefault="006D0644" w:rsidP="00C14DF9">
      <w:pPr>
        <w:rPr>
          <w:rFonts w:eastAsia="Arial Unicode MS" w:cs="Arial"/>
        </w:rPr>
      </w:pPr>
      <w:r>
        <w:rPr>
          <w:rFonts w:eastAsia="Arial Unicode MS" w:cs="Arial"/>
        </w:rPr>
        <w:tab/>
        <w:t xml:space="preserve">There were many people at fault for the fraud that Jon Corzine was able to carry out. Of course Corzine was at fault for perpetrating the </w:t>
      </w:r>
      <w:r w:rsidR="00C05882">
        <w:rPr>
          <w:rFonts w:eastAsia="Arial Unicode MS" w:cs="Arial"/>
        </w:rPr>
        <w:t>theft;</w:t>
      </w:r>
      <w:r>
        <w:rPr>
          <w:rFonts w:eastAsia="Arial Unicode MS" w:cs="Arial"/>
        </w:rPr>
        <w:t xml:space="preserve"> however, there are also </w:t>
      </w:r>
      <w:r>
        <w:rPr>
          <w:rFonts w:eastAsia="Arial Unicode MS" w:cs="Arial"/>
        </w:rPr>
        <w:lastRenderedPageBreak/>
        <w:t xml:space="preserve">accountants and auditors that are under scrutiny for not noticing that something was wrong before the company had to file for bankruptcy. </w:t>
      </w:r>
      <w:r w:rsidR="00C05882">
        <w:rPr>
          <w:rFonts w:eastAsia="Arial Unicode MS" w:cs="Arial"/>
        </w:rPr>
        <w:t xml:space="preserve">Some of the red flags that should have went noticed include the sudden change in procedure by MF Global to return customer funds, </w:t>
      </w:r>
      <w:r w:rsidR="00121F68">
        <w:rPr>
          <w:rFonts w:eastAsia="Arial Unicode MS" w:cs="Arial"/>
        </w:rPr>
        <w:t>as well as the unauthorized transferring of large sums of cash by the treasurer</w:t>
      </w:r>
      <w:r w:rsidR="00121F68">
        <w:rPr>
          <w:rStyle w:val="FootnoteReference"/>
          <w:rFonts w:eastAsia="Arial Unicode MS" w:cs="Arial"/>
        </w:rPr>
        <w:footnoteReference w:id="19"/>
      </w:r>
      <w:r w:rsidR="00121F68">
        <w:rPr>
          <w:rFonts w:eastAsia="Arial Unicode MS" w:cs="Arial"/>
        </w:rPr>
        <w:t>.</w:t>
      </w:r>
    </w:p>
    <w:p w:rsidR="00240F98" w:rsidRDefault="00C22425" w:rsidP="00C14DF9">
      <w:pPr>
        <w:rPr>
          <w:rFonts w:eastAsia="Arial Unicode MS" w:cs="Arial"/>
        </w:rPr>
      </w:pPr>
      <w:r>
        <w:rPr>
          <w:rFonts w:eastAsia="Arial Unicode MS" w:cs="Arial"/>
        </w:rPr>
        <w:tab/>
        <w:t>In the last few months leading up to the bankruptcy of MF Global, the company decided to change their policy on customer refunds suddenly and unexpectedly. Before the change, the company would always wire</w:t>
      </w:r>
      <w:r w:rsidR="00240F98">
        <w:rPr>
          <w:rFonts w:eastAsia="Arial Unicode MS" w:cs="Arial"/>
        </w:rPr>
        <w:t xml:space="preserve"> the</w:t>
      </w:r>
      <w:r>
        <w:rPr>
          <w:rFonts w:eastAsia="Arial Unicode MS" w:cs="Arial"/>
        </w:rPr>
        <w:t xml:space="preserve"> funds</w:t>
      </w:r>
      <w:r w:rsidR="00240F98">
        <w:rPr>
          <w:rFonts w:eastAsia="Arial Unicode MS" w:cs="Arial"/>
        </w:rPr>
        <w:t xml:space="preserve"> owed</w:t>
      </w:r>
      <w:r>
        <w:rPr>
          <w:rFonts w:eastAsia="Arial Unicode MS" w:cs="Arial"/>
        </w:rPr>
        <w:t xml:space="preserve"> back to</w:t>
      </w:r>
      <w:r w:rsidR="00240F98">
        <w:rPr>
          <w:rFonts w:eastAsia="Arial Unicode MS" w:cs="Arial"/>
        </w:rPr>
        <w:t xml:space="preserve"> their</w:t>
      </w:r>
      <w:r>
        <w:rPr>
          <w:rFonts w:eastAsia="Arial Unicode MS" w:cs="Arial"/>
        </w:rPr>
        <w:t xml:space="preserve"> customers, then out of nowhere MF Global began to write checks </w:t>
      </w:r>
      <w:r w:rsidR="00240F98">
        <w:rPr>
          <w:rFonts w:eastAsia="Arial Unicode MS" w:cs="Arial"/>
        </w:rPr>
        <w:t>to their customers instead. This was done so that the company would have time to transfer the customers assets to other accounts first, and then when the customers went to cash their checks they all bounced</w:t>
      </w:r>
      <w:r w:rsidR="00240F98">
        <w:rPr>
          <w:rStyle w:val="FootnoteReference"/>
          <w:rFonts w:eastAsia="Arial Unicode MS" w:cs="Arial"/>
        </w:rPr>
        <w:t>19</w:t>
      </w:r>
      <w:r w:rsidR="00240F98">
        <w:rPr>
          <w:rFonts w:eastAsia="Arial Unicode MS" w:cs="Arial"/>
        </w:rPr>
        <w:t>. This sudden and unexpected change in a policy that had been in place for a long time should have been a red flag to auditors that something was amiss. Also the bouncing of checks to their customers also should have alerted auditors that something was wrong with MF Global’s financials and they should have investigated it further before the company had to declare bankruptcy.</w:t>
      </w:r>
    </w:p>
    <w:p w:rsidR="00EF02E1" w:rsidRDefault="00240F98" w:rsidP="00C14DF9">
      <w:pPr>
        <w:rPr>
          <w:rFonts w:eastAsia="Arial Unicode MS" w:cs="Arial"/>
        </w:rPr>
      </w:pPr>
      <w:r>
        <w:rPr>
          <w:rFonts w:eastAsia="Arial Unicode MS" w:cs="Arial"/>
        </w:rPr>
        <w:tab/>
        <w:t>Edith O’Brien was the treasurer of MF Global in the months leading up to their bankruptcy. She is the person responsible for all the transfers of customer funds to overseas accounts and to banks to pay off debts owed by MF Global</w:t>
      </w:r>
      <w:r w:rsidR="00C27A64">
        <w:rPr>
          <w:rStyle w:val="FootnoteReference"/>
          <w:rFonts w:eastAsia="Arial Unicode MS" w:cs="Arial"/>
        </w:rPr>
        <w:footnoteReference w:id="20"/>
      </w:r>
      <w:r>
        <w:rPr>
          <w:rFonts w:eastAsia="Arial Unicode MS" w:cs="Arial"/>
        </w:rPr>
        <w:t xml:space="preserve">. </w:t>
      </w:r>
      <w:r w:rsidR="00C27A64">
        <w:rPr>
          <w:rFonts w:eastAsia="Arial Unicode MS" w:cs="Arial"/>
        </w:rPr>
        <w:t>She was authorized to perform these transfers by Jon Corzine, however as treasurer it is still her duty to realize the proper actions with the funds and so she is being labeled as co-</w:t>
      </w:r>
      <w:r w:rsidR="00C27A64">
        <w:rPr>
          <w:rFonts w:eastAsia="Arial Unicode MS" w:cs="Arial"/>
        </w:rPr>
        <w:lastRenderedPageBreak/>
        <w:t>conspirator and is being held liable in the fraud. The auditors of MF Global should have detected that the funds being used by the company were being used illegally</w:t>
      </w:r>
      <w:r w:rsidR="00EF02E1">
        <w:rPr>
          <w:rFonts w:eastAsia="Arial Unicode MS" w:cs="Arial"/>
        </w:rPr>
        <w:t xml:space="preserve"> because the company was clearly in no state to be paying off such large loans. This lack of skepticism by the auditors and their failure to detect the fraud cost thousands of people their life savings. </w:t>
      </w:r>
    </w:p>
    <w:p w:rsidR="004B111D" w:rsidRDefault="00EF02E1" w:rsidP="00C14DF9">
      <w:pPr>
        <w:rPr>
          <w:rFonts w:eastAsia="Arial Unicode MS" w:cs="Arial"/>
        </w:rPr>
      </w:pPr>
      <w:r>
        <w:rPr>
          <w:rFonts w:eastAsia="Arial Unicode MS" w:cs="Arial"/>
        </w:rPr>
        <w:tab/>
        <w:t>The auditing company for MF Global was PricewaterhouseCoopers, one of the big four accounting companies. PwC is not facing any criminal charges for their involvement and aiding of the fraud, however, they are under a lot of scrutiny for their failure to detect the fraud. PricewaterhouseCoopers was the auditor of MF Global for several years before the fraud began to take place and for this reason they should have realized a change in procedure and transactions even faster. Instead they failed to notice any fraud at all and eventually MF Global went bankrupt. Then on March 29. 2014, nearly two years after MF Global went bankrupt, they filed a lawsuit against PwC for their poor advising regarding European sovereign debt. MF Global claimed that if PwC had accounted properly for MF Global’s European sovereign debt, then the company would not have invested so heavily in them and therefore they would not have suffered the massive losses in 2011</w:t>
      </w:r>
      <w:r>
        <w:rPr>
          <w:rStyle w:val="FootnoteReference"/>
          <w:rFonts w:eastAsia="Arial Unicode MS" w:cs="Arial"/>
        </w:rPr>
        <w:footnoteReference w:id="21"/>
      </w:r>
      <w:r>
        <w:rPr>
          <w:rFonts w:eastAsia="Arial Unicode MS" w:cs="Arial"/>
        </w:rPr>
        <w:t xml:space="preserve">. The lawsuit filed was for $1 billion in </w:t>
      </w:r>
      <w:r w:rsidR="00AD6C48">
        <w:rPr>
          <w:rFonts w:eastAsia="Arial Unicode MS" w:cs="Arial"/>
        </w:rPr>
        <w:t>losses;</w:t>
      </w:r>
      <w:r>
        <w:rPr>
          <w:rFonts w:eastAsia="Arial Unicode MS" w:cs="Arial"/>
        </w:rPr>
        <w:t xml:space="preserve"> however, on April 20, 2015 PricewaterhouseCoopers settled the lawsuit with a $65 million settlement </w:t>
      </w:r>
      <w:r w:rsidR="00AD6C48">
        <w:rPr>
          <w:rFonts w:eastAsia="Arial Unicode MS" w:cs="Arial"/>
        </w:rPr>
        <w:t>for MF Global</w:t>
      </w:r>
      <w:r w:rsidR="00AD6C48">
        <w:rPr>
          <w:rStyle w:val="FootnoteReference"/>
          <w:rFonts w:eastAsia="Arial Unicode MS" w:cs="Arial"/>
        </w:rPr>
        <w:footnoteReference w:id="22"/>
      </w:r>
      <w:r w:rsidR="00AD6C48">
        <w:rPr>
          <w:rFonts w:eastAsia="Arial Unicode MS" w:cs="Arial"/>
        </w:rPr>
        <w:t xml:space="preserve">. PricewaterhouseCoopers poor advising and auditing not only cost the investors of MF Global millions of dollars, but it also cost them $65 million and their reputation. </w:t>
      </w:r>
      <w:r w:rsidR="00240F98">
        <w:rPr>
          <w:rFonts w:eastAsia="Arial Unicode MS" w:cs="Arial"/>
        </w:rPr>
        <w:t xml:space="preserve"> </w:t>
      </w:r>
    </w:p>
    <w:p w:rsidR="00657029" w:rsidRDefault="00657029" w:rsidP="004258E2">
      <w:pPr>
        <w:pStyle w:val="Heading1"/>
        <w:spacing w:before="360" w:after="480"/>
        <w:rPr>
          <w:rFonts w:eastAsia="Arial Unicode MS"/>
        </w:rPr>
      </w:pPr>
      <w:bookmarkStart w:id="5" w:name="_Toc418848397"/>
      <w:r>
        <w:rPr>
          <w:rFonts w:eastAsia="Arial Unicode MS"/>
        </w:rPr>
        <w:lastRenderedPageBreak/>
        <w:t>Conclusion</w:t>
      </w:r>
      <w:bookmarkEnd w:id="5"/>
    </w:p>
    <w:p w:rsidR="00AD6C48" w:rsidRDefault="0073246F" w:rsidP="00657029">
      <w:pPr>
        <w:ind w:firstLine="720"/>
        <w:rPr>
          <w:rFonts w:eastAsia="Arial Unicode MS" w:cs="Arial"/>
        </w:rPr>
      </w:pPr>
      <w:r>
        <w:rPr>
          <w:rFonts w:eastAsia="Arial Unicode MS" w:cs="Arial"/>
        </w:rPr>
        <w:t>T</w:t>
      </w:r>
      <w:r w:rsidR="00AD6C48">
        <w:rPr>
          <w:rFonts w:eastAsia="Arial Unicode MS" w:cs="Arial"/>
        </w:rPr>
        <w:t>he Crazy Edd</w:t>
      </w:r>
      <w:r w:rsidR="00766E40">
        <w:rPr>
          <w:rFonts w:eastAsia="Arial Unicode MS" w:cs="Arial"/>
        </w:rPr>
        <w:t>ie and the MF Global frauds</w:t>
      </w:r>
      <w:r w:rsidR="00AD6C48">
        <w:rPr>
          <w:rFonts w:eastAsia="Arial Unicode MS" w:cs="Arial"/>
        </w:rPr>
        <w:t xml:space="preserve"> </w:t>
      </w:r>
      <w:r w:rsidR="00766E40">
        <w:rPr>
          <w:rFonts w:eastAsia="Arial Unicode MS" w:cs="Arial"/>
        </w:rPr>
        <w:t>are</w:t>
      </w:r>
      <w:r w:rsidR="00AD6C48">
        <w:rPr>
          <w:rFonts w:eastAsia="Arial Unicode MS" w:cs="Arial"/>
        </w:rPr>
        <w:t xml:space="preserve"> one</w:t>
      </w:r>
      <w:r w:rsidR="00766E40">
        <w:rPr>
          <w:rFonts w:eastAsia="Arial Unicode MS" w:cs="Arial"/>
        </w:rPr>
        <w:t>s</w:t>
      </w:r>
      <w:r w:rsidR="00AD6C48">
        <w:rPr>
          <w:rFonts w:eastAsia="Arial Unicode MS" w:cs="Arial"/>
        </w:rPr>
        <w:t xml:space="preserve"> that could have been largel</w:t>
      </w:r>
      <w:r>
        <w:rPr>
          <w:rFonts w:eastAsia="Arial Unicode MS" w:cs="Arial"/>
        </w:rPr>
        <w:t>y prevented. The</w:t>
      </w:r>
      <w:r w:rsidR="00AD6C48">
        <w:rPr>
          <w:rFonts w:eastAsia="Arial Unicode MS" w:cs="Arial"/>
        </w:rPr>
        <w:t xml:space="preserve"> auditors had ample chances to detect that something was amiss with the business</w:t>
      </w:r>
      <w:r w:rsidR="00766E40">
        <w:rPr>
          <w:rFonts w:eastAsia="Arial Unicode MS" w:cs="Arial"/>
        </w:rPr>
        <w:t>es</w:t>
      </w:r>
      <w:r w:rsidR="00AD6C48">
        <w:rPr>
          <w:rFonts w:eastAsia="Arial Unicode MS" w:cs="Arial"/>
        </w:rPr>
        <w:t xml:space="preserve"> that Eddie Antar</w:t>
      </w:r>
      <w:r w:rsidR="00766E40">
        <w:rPr>
          <w:rFonts w:eastAsia="Arial Unicode MS" w:cs="Arial"/>
        </w:rPr>
        <w:t xml:space="preserve"> and Jon Corzine</w:t>
      </w:r>
      <w:r w:rsidR="00AD6C48">
        <w:rPr>
          <w:rFonts w:eastAsia="Arial Unicode MS" w:cs="Arial"/>
        </w:rPr>
        <w:t xml:space="preserve"> was running. Of course the first 13 years of Crazy Eddie’s existence was as a private company, however, it still took auditors four years of auditing and reviewing to discover that vast amount of fraud that </w:t>
      </w:r>
      <w:r>
        <w:rPr>
          <w:rFonts w:eastAsia="Arial Unicode MS" w:cs="Arial"/>
        </w:rPr>
        <w:t>was taking place. It is also true that</w:t>
      </w:r>
      <w:r w:rsidR="00AD6C48">
        <w:rPr>
          <w:rFonts w:eastAsia="Arial Unicode MS" w:cs="Arial"/>
        </w:rPr>
        <w:t xml:space="preserve"> most fraud tha</w:t>
      </w:r>
      <w:r w:rsidR="00766E40">
        <w:rPr>
          <w:rFonts w:eastAsia="Arial Unicode MS" w:cs="Arial"/>
        </w:rPr>
        <w:t>t involves public companies go on way longer than they</w:t>
      </w:r>
      <w:r w:rsidR="00AD6C48">
        <w:rPr>
          <w:rFonts w:eastAsia="Arial Unicode MS" w:cs="Arial"/>
        </w:rPr>
        <w:t xml:space="preserve"> should and the blame is on the auditor for not doing their jobs correctly.</w:t>
      </w:r>
    </w:p>
    <w:p w:rsidR="00AD6C48" w:rsidRDefault="0073246F" w:rsidP="00AD6C48">
      <w:pPr>
        <w:ind w:firstLine="720"/>
        <w:rPr>
          <w:rFonts w:eastAsia="Arial Unicode MS" w:cs="Arial"/>
        </w:rPr>
      </w:pPr>
      <w:r>
        <w:rPr>
          <w:rFonts w:eastAsia="Arial Unicode MS" w:cs="Arial"/>
        </w:rPr>
        <w:t>In the beginning of this</w:t>
      </w:r>
      <w:r w:rsidR="00AD6C48">
        <w:rPr>
          <w:rFonts w:eastAsia="Arial Unicode MS" w:cs="Arial"/>
        </w:rPr>
        <w:t xml:space="preserve"> report</w:t>
      </w:r>
      <w:r>
        <w:rPr>
          <w:rFonts w:eastAsia="Arial Unicode MS" w:cs="Arial"/>
        </w:rPr>
        <w:t xml:space="preserve">, </w:t>
      </w:r>
      <w:r w:rsidR="00AD6C48">
        <w:rPr>
          <w:rFonts w:eastAsia="Arial Unicode MS" w:cs="Arial"/>
        </w:rPr>
        <w:t xml:space="preserve">the statistics involving fraud world-wide for public companies. These reports included the average amount of time before </w:t>
      </w:r>
      <w:r w:rsidR="00766E40">
        <w:rPr>
          <w:rFonts w:eastAsia="Arial Unicode MS" w:cs="Arial"/>
        </w:rPr>
        <w:t>fraud is detected, which is eighteen</w:t>
      </w:r>
      <w:r>
        <w:rPr>
          <w:rFonts w:eastAsia="Arial Unicode MS" w:cs="Arial"/>
        </w:rPr>
        <w:t xml:space="preserve"> months. This i</w:t>
      </w:r>
      <w:r w:rsidR="00AD6C48">
        <w:rPr>
          <w:rFonts w:eastAsia="Arial Unicode MS" w:cs="Arial"/>
        </w:rPr>
        <w:t>s</w:t>
      </w:r>
      <w:r>
        <w:rPr>
          <w:rFonts w:eastAsia="Arial Unicode MS" w:cs="Arial"/>
        </w:rPr>
        <w:t xml:space="preserve"> one of the most important figures</w:t>
      </w:r>
      <w:r w:rsidR="00AD6C48">
        <w:rPr>
          <w:rFonts w:eastAsia="Arial Unicode MS" w:cs="Arial"/>
        </w:rPr>
        <w:t xml:space="preserve"> because it means that, on average, a publically traded company will be audited and the fraud will still not go detected for another half year. Now the average amount of money stolen during fraud is $145,000, however, in many cases it is much more and this extra six months of going undetected costs stockholders and investors millions of dollars. The first year that Crazy Eddie was public, Eddie Antar stole a fraction of what he stole in every subsequent year. In the following three years that Eddie Antar falsified his financial statements and successfully deceived auditors, he stole over $100 million, of which only about half was collected. In the first six months of 1987, the year Eddie Antar sold out, Crazy Eddie overstated their inventory by about $25 million. </w:t>
      </w:r>
      <w:r w:rsidR="00766E40">
        <w:rPr>
          <w:rFonts w:eastAsia="Arial Unicode MS" w:cs="Arial"/>
        </w:rPr>
        <w:t>The same goes for the MF Global fraud as well, and it</w:t>
      </w:r>
      <w:r>
        <w:rPr>
          <w:rFonts w:eastAsia="Arial Unicode MS" w:cs="Arial"/>
        </w:rPr>
        <w:t xml:space="preserve"> i</w:t>
      </w:r>
      <w:r w:rsidR="00766E40">
        <w:rPr>
          <w:rFonts w:eastAsia="Arial Unicode MS" w:cs="Arial"/>
        </w:rPr>
        <w:t xml:space="preserve">s ironic how the MF Global fraud lasted just about eighteen months too. Jon Corzine was only CEO for a short time and although his </w:t>
      </w:r>
      <w:r w:rsidR="00766E40">
        <w:rPr>
          <w:rFonts w:eastAsia="Arial Unicode MS" w:cs="Arial"/>
        </w:rPr>
        <w:lastRenderedPageBreak/>
        <w:t xml:space="preserve">fraud lasted most of his tenure, the largest amount stolen was in the last six months. If auditors had discovered the fraud even just six months before MF Global went bankrupt then potentially over $1 billion could have been saved. </w:t>
      </w:r>
      <w:r w:rsidR="00AD6C48">
        <w:rPr>
          <w:rFonts w:eastAsia="Arial Unicode MS" w:cs="Arial"/>
        </w:rPr>
        <w:t xml:space="preserve">Six months can make </w:t>
      </w:r>
      <w:r>
        <w:rPr>
          <w:rFonts w:eastAsia="Arial Unicode MS" w:cs="Arial"/>
        </w:rPr>
        <w:t xml:space="preserve">a huge difference, and </w:t>
      </w:r>
      <w:r w:rsidR="00AD6C48">
        <w:rPr>
          <w:rFonts w:eastAsia="Arial Unicode MS" w:cs="Arial"/>
        </w:rPr>
        <w:t>audi</w:t>
      </w:r>
      <w:r>
        <w:rPr>
          <w:rFonts w:eastAsia="Arial Unicode MS" w:cs="Arial"/>
        </w:rPr>
        <w:t>tors would be able to</w:t>
      </w:r>
      <w:r w:rsidR="00AD6C48">
        <w:rPr>
          <w:rFonts w:eastAsia="Arial Unicode MS" w:cs="Arial"/>
        </w:rPr>
        <w:t xml:space="preserve"> detect a much larger percent of fraud if they did their jobs efficiently and effectively.</w:t>
      </w:r>
    </w:p>
    <w:p w:rsidR="00AD6C48" w:rsidRDefault="00AD6C48" w:rsidP="00AD6C48">
      <w:pPr>
        <w:ind w:firstLine="720"/>
        <w:rPr>
          <w:rFonts w:eastAsia="Arial Unicode MS" w:cs="Arial"/>
        </w:rPr>
      </w:pPr>
      <w:r>
        <w:rPr>
          <w:rFonts w:eastAsia="Arial Unicode MS" w:cs="Arial"/>
        </w:rPr>
        <w:t>Of course the job of an external auditor is difficult, as they are going into a company that they do not know and are still expected to detect an abnormality that is actively being hidden by either management o</w:t>
      </w:r>
      <w:r w:rsidR="00766E40">
        <w:rPr>
          <w:rFonts w:eastAsia="Arial Unicode MS" w:cs="Arial"/>
        </w:rPr>
        <w:t>r</w:t>
      </w:r>
      <w:r>
        <w:rPr>
          <w:rFonts w:eastAsia="Arial Unicode MS" w:cs="Arial"/>
        </w:rPr>
        <w:t xml:space="preserve"> an employee. However, in the Crazy Eddie fraud there were around half dozen red flags that should have definitely been detected by auditors long before they actually were. Once again of course not every fraud case has as many glaring red flags as t</w:t>
      </w:r>
      <w:r w:rsidR="0073246F">
        <w:rPr>
          <w:rFonts w:eastAsia="Arial Unicode MS" w:cs="Arial"/>
        </w:rPr>
        <w:t>he Crazy Eddie one, but</w:t>
      </w:r>
      <w:r>
        <w:rPr>
          <w:rFonts w:eastAsia="Arial Unicode MS" w:cs="Arial"/>
        </w:rPr>
        <w:t xml:space="preserve"> a majority of fraud cases do have at least one or two red flags that could be detected by auditors had they done their job tho</w:t>
      </w:r>
      <w:r w:rsidR="0073246F">
        <w:rPr>
          <w:rFonts w:eastAsia="Arial Unicode MS" w:cs="Arial"/>
        </w:rPr>
        <w:t>roughly and correctly. I</w:t>
      </w:r>
      <w:r>
        <w:rPr>
          <w:rFonts w:eastAsia="Arial Unicode MS" w:cs="Arial"/>
        </w:rPr>
        <w:t xml:space="preserve">t is too often that auditors fail to do their job correctly and their mistakes often cost many stockholders their life savings. </w:t>
      </w:r>
    </w:p>
    <w:p w:rsidR="007D14A8" w:rsidRDefault="00AD6C48" w:rsidP="0073246F">
      <w:pPr>
        <w:ind w:firstLine="720"/>
        <w:rPr>
          <w:rFonts w:eastAsia="Arial Unicode MS" w:cs="Arial"/>
        </w:rPr>
      </w:pPr>
      <w:r>
        <w:rPr>
          <w:rFonts w:eastAsia="Arial Unicode MS" w:cs="Arial"/>
        </w:rPr>
        <w:t>Eddie Antar was the main perpetrator of the Crazy Eddie fraud and he is the reason that the fraud was as b</w:t>
      </w:r>
      <w:r w:rsidR="0073246F">
        <w:rPr>
          <w:rFonts w:eastAsia="Arial Unicode MS" w:cs="Arial"/>
        </w:rPr>
        <w:t>ig as it was, but</w:t>
      </w:r>
      <w:r>
        <w:rPr>
          <w:rFonts w:eastAsia="Arial Unicode MS" w:cs="Arial"/>
        </w:rPr>
        <w:t xml:space="preserve"> the blame as to why it went on so long is on the auditors. Today auditors are held to much higher standards, but even now the average time that f</w:t>
      </w:r>
      <w:r w:rsidR="00766E40">
        <w:rPr>
          <w:rFonts w:eastAsia="Arial Unicode MS" w:cs="Arial"/>
        </w:rPr>
        <w:t>raud goes undetected is eighteen</w:t>
      </w:r>
      <w:r>
        <w:rPr>
          <w:rFonts w:eastAsia="Arial Unicode MS" w:cs="Arial"/>
        </w:rPr>
        <w:t xml:space="preserve"> months. Unless auditors face stricter punishment for missing obvious red flags </w:t>
      </w:r>
      <w:r w:rsidR="0073246F">
        <w:rPr>
          <w:rFonts w:eastAsia="Arial Unicode MS" w:cs="Arial"/>
        </w:rPr>
        <w:t>there</w:t>
      </w:r>
      <w:r>
        <w:rPr>
          <w:rFonts w:eastAsia="Arial Unicode MS" w:cs="Arial"/>
        </w:rPr>
        <w:t xml:space="preserve"> will</w:t>
      </w:r>
      <w:r w:rsidR="0073246F">
        <w:rPr>
          <w:rFonts w:eastAsia="Arial Unicode MS" w:cs="Arial"/>
        </w:rPr>
        <w:t xml:space="preserve"> be little</w:t>
      </w:r>
      <w:r>
        <w:rPr>
          <w:rFonts w:eastAsia="Arial Unicode MS" w:cs="Arial"/>
        </w:rPr>
        <w:t xml:space="preserve"> change in the near future</w:t>
      </w:r>
      <w:r w:rsidR="0073246F">
        <w:rPr>
          <w:rFonts w:eastAsia="Arial Unicode MS" w:cs="Arial"/>
        </w:rPr>
        <w:t xml:space="preserve"> as well</w:t>
      </w:r>
      <w:r>
        <w:rPr>
          <w:rFonts w:eastAsia="Arial Unicode MS" w:cs="Arial"/>
        </w:rPr>
        <w:t>. The Crazy Eddie fraud was one of the biggest frauds of the 20</w:t>
      </w:r>
      <w:r w:rsidRPr="000E3E88">
        <w:rPr>
          <w:rFonts w:eastAsia="Arial Unicode MS" w:cs="Arial"/>
          <w:vertAlign w:val="superscript"/>
        </w:rPr>
        <w:t>th</w:t>
      </w:r>
      <w:r>
        <w:rPr>
          <w:rFonts w:eastAsia="Arial Unicode MS" w:cs="Arial"/>
        </w:rPr>
        <w:t xml:space="preserve"> century in America,</w:t>
      </w:r>
      <w:r w:rsidR="00766E40">
        <w:rPr>
          <w:rFonts w:eastAsia="Arial Unicode MS" w:cs="Arial"/>
        </w:rPr>
        <w:t xml:space="preserve"> and the MF Global fraud was one of the biggest frauds to take place after the creation of the Sarbanes-Oxley Act.</w:t>
      </w:r>
      <w:r>
        <w:rPr>
          <w:rFonts w:eastAsia="Arial Unicode MS" w:cs="Arial"/>
        </w:rPr>
        <w:t xml:space="preserve"> </w:t>
      </w:r>
      <w:r w:rsidR="00766E40">
        <w:rPr>
          <w:rFonts w:eastAsia="Arial Unicode MS" w:cs="Arial"/>
        </w:rPr>
        <w:t>E</w:t>
      </w:r>
      <w:r>
        <w:rPr>
          <w:rFonts w:eastAsia="Arial Unicode MS" w:cs="Arial"/>
        </w:rPr>
        <w:t>ven t</w:t>
      </w:r>
      <w:r w:rsidR="0073246F">
        <w:rPr>
          <w:rFonts w:eastAsia="Arial Unicode MS" w:cs="Arial"/>
        </w:rPr>
        <w:t>hough</w:t>
      </w:r>
      <w:r>
        <w:rPr>
          <w:rFonts w:eastAsia="Arial Unicode MS" w:cs="Arial"/>
        </w:rPr>
        <w:t xml:space="preserve"> most of it could h</w:t>
      </w:r>
      <w:r w:rsidR="0073246F">
        <w:rPr>
          <w:rFonts w:eastAsia="Arial Unicode MS" w:cs="Arial"/>
        </w:rPr>
        <w:t xml:space="preserve">ave been </w:t>
      </w:r>
      <w:r w:rsidR="0073246F">
        <w:rPr>
          <w:rFonts w:eastAsia="Arial Unicode MS" w:cs="Arial"/>
        </w:rPr>
        <w:lastRenderedPageBreak/>
        <w:t xml:space="preserve">prevented, </w:t>
      </w:r>
      <w:r>
        <w:rPr>
          <w:rFonts w:eastAsia="Arial Unicode MS" w:cs="Arial"/>
        </w:rPr>
        <w:t>it was a true learning experience for not only everyone involved, but for future auditors nationwide.</w:t>
      </w:r>
    </w:p>
    <w:p w:rsidR="007D14A8" w:rsidRDefault="007D14A8" w:rsidP="007D14A8">
      <w:pPr>
        <w:pStyle w:val="SubtitleCover"/>
        <w:rPr>
          <w:rFonts w:eastAsia="Arial Unicode MS"/>
        </w:rPr>
      </w:pPr>
      <w:r>
        <w:rPr>
          <w:rFonts w:eastAsia="Arial Unicode MS"/>
        </w:rPr>
        <w:br w:type="page"/>
      </w:r>
    </w:p>
    <w:bookmarkStart w:id="6" w:name="_Toc418848398" w:displacedByCustomXml="next"/>
    <w:sdt>
      <w:sdtPr>
        <w:rPr>
          <w:rFonts w:ascii="Arial" w:eastAsiaTheme="minorHAnsi" w:hAnsi="Arial" w:cstheme="minorBidi"/>
          <w:b w:val="0"/>
          <w:bCs w:val="0"/>
          <w:color w:val="auto"/>
          <w:sz w:val="24"/>
          <w:szCs w:val="22"/>
          <w:lang w:eastAsia="en-US"/>
        </w:rPr>
        <w:id w:val="1987736184"/>
        <w:docPartObj>
          <w:docPartGallery w:val="Bibliographies"/>
          <w:docPartUnique/>
        </w:docPartObj>
      </w:sdtPr>
      <w:sdtEndPr/>
      <w:sdtContent>
        <w:p w:rsidR="00CB5D7A" w:rsidRDefault="00CB5D7A">
          <w:pPr>
            <w:pStyle w:val="Heading1"/>
          </w:pPr>
          <w:r>
            <w:t>Works Cited</w:t>
          </w:r>
          <w:bookmarkEnd w:id="6"/>
        </w:p>
        <w:p w:rsidR="007D14A8" w:rsidRPr="007D14A8" w:rsidRDefault="007D14A8" w:rsidP="007D14A8">
          <w:pPr>
            <w:rPr>
              <w:lang w:eastAsia="ja-JP"/>
            </w:rPr>
          </w:pPr>
        </w:p>
        <w:p w:rsidR="00CB5D7A" w:rsidRDefault="00CB5D7A" w:rsidP="00CB5D7A">
          <w:pPr>
            <w:pStyle w:val="Bibliography"/>
            <w:ind w:left="720" w:hanging="720"/>
            <w:rPr>
              <w:noProof/>
            </w:rPr>
          </w:pPr>
          <w:r>
            <w:fldChar w:fldCharType="begin"/>
          </w:r>
          <w:r>
            <w:instrText xml:space="preserve"> BIBLIOGRAPHY </w:instrText>
          </w:r>
          <w:r>
            <w:fldChar w:fldCharType="separate"/>
          </w:r>
          <w:r>
            <w:rPr>
              <w:noProof/>
            </w:rPr>
            <w:t xml:space="preserve">Adelmann, B. (2013, July 5). </w:t>
          </w:r>
          <w:r>
            <w:rPr>
              <w:i/>
              <w:iCs/>
              <w:noProof/>
            </w:rPr>
            <w:t>Former MF Global Head Jon Corzine Sued for Theft of Customer Funds</w:t>
          </w:r>
          <w:r>
            <w:rPr>
              <w:noProof/>
            </w:rPr>
            <w:t>. Retrieved from The New American: http://www.thenewamerican.com/usnews/crime/item/15903-former-mf-global-head-jon-corzine-sued-for-theft-of-customer-funds</w:t>
          </w:r>
        </w:p>
        <w:p w:rsidR="00CB5D7A" w:rsidRDefault="00CB5D7A" w:rsidP="00CB5D7A">
          <w:pPr>
            <w:pStyle w:val="Bibliography"/>
            <w:ind w:left="720" w:hanging="720"/>
            <w:rPr>
              <w:noProof/>
            </w:rPr>
          </w:pPr>
          <w:r>
            <w:rPr>
              <w:noProof/>
            </w:rPr>
            <w:t xml:space="preserve">Antar, S. (2009). </w:t>
          </w:r>
          <w:r>
            <w:rPr>
              <w:i/>
              <w:iCs/>
              <w:noProof/>
            </w:rPr>
            <w:t>The Crazy Eddie Fraud.</w:t>
          </w:r>
          <w:r>
            <w:rPr>
              <w:noProof/>
            </w:rPr>
            <w:t xml:space="preserve"> </w:t>
          </w:r>
        </w:p>
        <w:p w:rsidR="00CB5D7A" w:rsidRDefault="00CB5D7A" w:rsidP="00CB5D7A">
          <w:pPr>
            <w:pStyle w:val="Bibliography"/>
            <w:ind w:left="720" w:hanging="720"/>
            <w:rPr>
              <w:noProof/>
            </w:rPr>
          </w:pPr>
          <w:r>
            <w:rPr>
              <w:noProof/>
            </w:rPr>
            <w:t xml:space="preserve">Antar, S. (2014). </w:t>
          </w:r>
          <w:r>
            <w:rPr>
              <w:i/>
              <w:iCs/>
              <w:noProof/>
            </w:rPr>
            <w:t>WhiteCollarFraud.com</w:t>
          </w:r>
          <w:r>
            <w:rPr>
              <w:noProof/>
            </w:rPr>
            <w:t>.</w:t>
          </w:r>
        </w:p>
        <w:p w:rsidR="00CB5D7A" w:rsidRDefault="00CB5D7A" w:rsidP="00CB5D7A">
          <w:pPr>
            <w:pStyle w:val="Bibliography"/>
            <w:ind w:left="720" w:hanging="720"/>
            <w:rPr>
              <w:noProof/>
            </w:rPr>
          </w:pPr>
          <w:r>
            <w:rPr>
              <w:noProof/>
            </w:rPr>
            <w:t xml:space="preserve">Association of Certified Fraud Examiners. (2014). </w:t>
          </w:r>
          <w:r>
            <w:rPr>
              <w:i/>
              <w:iCs/>
              <w:noProof/>
            </w:rPr>
            <w:t>Report to the Nations on Occupational Fraud and Abuse.</w:t>
          </w:r>
          <w:r>
            <w:rPr>
              <w:noProof/>
            </w:rPr>
            <w:t xml:space="preserve"> </w:t>
          </w:r>
        </w:p>
        <w:p w:rsidR="00CB5D7A" w:rsidRDefault="00CB5D7A" w:rsidP="00CB5D7A">
          <w:pPr>
            <w:pStyle w:val="Bibliography"/>
            <w:ind w:left="720" w:hanging="720"/>
            <w:rPr>
              <w:noProof/>
            </w:rPr>
          </w:pPr>
          <w:r>
            <w:rPr>
              <w:noProof/>
            </w:rPr>
            <w:t xml:space="preserve">Cohn, M. (2015, April 20). </w:t>
          </w:r>
          <w:r>
            <w:rPr>
              <w:i/>
              <w:iCs/>
              <w:noProof/>
            </w:rPr>
            <w:t>PwC Settles MF Global Lawsuit for $65 Million</w:t>
          </w:r>
          <w:r>
            <w:rPr>
              <w:noProof/>
            </w:rPr>
            <w:t>. Retrieved from AccountingToday.com.</w:t>
          </w:r>
        </w:p>
        <w:p w:rsidR="00CB5D7A" w:rsidRDefault="00CB5D7A" w:rsidP="00CB5D7A">
          <w:pPr>
            <w:pStyle w:val="Bibliography"/>
            <w:ind w:left="720" w:hanging="720"/>
            <w:rPr>
              <w:noProof/>
            </w:rPr>
          </w:pPr>
          <w:r>
            <w:rPr>
              <w:noProof/>
            </w:rPr>
            <w:t xml:space="preserve">Collins, D. P. (2012, April 2). </w:t>
          </w:r>
          <w:r>
            <w:rPr>
              <w:i/>
              <w:iCs/>
              <w:noProof/>
            </w:rPr>
            <w:t>Futuresmag.com</w:t>
          </w:r>
          <w:r>
            <w:rPr>
              <w:noProof/>
            </w:rPr>
            <w:t>. Retrieved from Evidence of Fraud at MF Global: http://www.futuresmag.com/2012/04/02/evidence-of-fraud-at-mf-global</w:t>
          </w:r>
        </w:p>
        <w:p w:rsidR="00CB5D7A" w:rsidRDefault="00CB5D7A" w:rsidP="00CB5D7A">
          <w:pPr>
            <w:pStyle w:val="Bibliography"/>
            <w:ind w:left="720" w:hanging="720"/>
            <w:rPr>
              <w:noProof/>
            </w:rPr>
          </w:pPr>
          <w:r>
            <w:rPr>
              <w:noProof/>
            </w:rPr>
            <w:t xml:space="preserve">Forbes. (n.d.). </w:t>
          </w:r>
          <w:r>
            <w:rPr>
              <w:i/>
              <w:iCs/>
              <w:noProof/>
            </w:rPr>
            <w:t>The 10 Biggest Frauds in Recent US History</w:t>
          </w:r>
          <w:r>
            <w:rPr>
              <w:noProof/>
            </w:rPr>
            <w:t>. Retrieved from Forbes.com: http://www.forbes.com/pictures/eelg45gkdi/5-mf-global-3/</w:t>
          </w:r>
        </w:p>
        <w:p w:rsidR="00CB5D7A" w:rsidRDefault="00CB5D7A" w:rsidP="00CB5D7A">
          <w:pPr>
            <w:pStyle w:val="Bibliography"/>
            <w:ind w:left="720" w:hanging="720"/>
            <w:rPr>
              <w:noProof/>
            </w:rPr>
          </w:pPr>
          <w:r>
            <w:rPr>
              <w:i/>
              <w:iCs/>
              <w:noProof/>
            </w:rPr>
            <w:t>InmateAid.com</w:t>
          </w:r>
          <w:r>
            <w:rPr>
              <w:noProof/>
            </w:rPr>
            <w:t>. (n.d.). Retrieved April 11, 2015</w:t>
          </w:r>
        </w:p>
        <w:p w:rsidR="00CB5D7A" w:rsidRDefault="00CB5D7A" w:rsidP="00CB5D7A">
          <w:pPr>
            <w:pStyle w:val="Bibliography"/>
            <w:ind w:left="720" w:hanging="720"/>
            <w:rPr>
              <w:noProof/>
            </w:rPr>
          </w:pPr>
          <w:r>
            <w:rPr>
              <w:i/>
              <w:iCs/>
              <w:noProof/>
            </w:rPr>
            <w:t>International Directory of Company Histories</w:t>
          </w:r>
          <w:r>
            <w:rPr>
              <w:noProof/>
            </w:rPr>
            <w:t xml:space="preserve"> (Vol. 63). (2004). St. James Press.</w:t>
          </w:r>
        </w:p>
        <w:p w:rsidR="00CB5D7A" w:rsidRDefault="00CB5D7A" w:rsidP="00CB5D7A">
          <w:pPr>
            <w:pStyle w:val="Bibliography"/>
            <w:ind w:left="720" w:hanging="720"/>
            <w:rPr>
              <w:noProof/>
            </w:rPr>
          </w:pPr>
          <w:r>
            <w:rPr>
              <w:noProof/>
            </w:rPr>
            <w:t xml:space="preserve">Knapp, M. (2004). </w:t>
          </w:r>
          <w:r>
            <w:rPr>
              <w:i/>
              <w:iCs/>
              <w:noProof/>
            </w:rPr>
            <w:t>Contemporary auditing</w:t>
          </w:r>
          <w:r>
            <w:rPr>
              <w:noProof/>
            </w:rPr>
            <w:t xml:space="preserve"> (5th Edition ed.). Thompson South-Western.</w:t>
          </w:r>
        </w:p>
        <w:p w:rsidR="00CB5D7A" w:rsidRDefault="00CB5D7A" w:rsidP="00CB5D7A">
          <w:pPr>
            <w:pStyle w:val="Bibliography"/>
            <w:ind w:left="720" w:hanging="720"/>
            <w:rPr>
              <w:noProof/>
            </w:rPr>
          </w:pPr>
          <w:r>
            <w:rPr>
              <w:noProof/>
            </w:rPr>
            <w:lastRenderedPageBreak/>
            <w:t xml:space="preserve">Knapp, M. (2012). </w:t>
          </w:r>
          <w:r>
            <w:rPr>
              <w:i/>
              <w:iCs/>
              <w:noProof/>
            </w:rPr>
            <w:t>Contemporary Auditing: Real Issues and Cases</w:t>
          </w:r>
          <w:r>
            <w:rPr>
              <w:noProof/>
            </w:rPr>
            <w:t xml:space="preserve"> (9th ed.). Cengage Learning.</w:t>
          </w:r>
        </w:p>
        <w:p w:rsidR="00CB5D7A" w:rsidRDefault="00CB5D7A" w:rsidP="00CB5D7A">
          <w:pPr>
            <w:pStyle w:val="Bibliography"/>
            <w:ind w:left="720" w:hanging="720"/>
            <w:rPr>
              <w:noProof/>
            </w:rPr>
          </w:pPr>
          <w:r>
            <w:rPr>
              <w:noProof/>
            </w:rPr>
            <w:t xml:space="preserve">Shaftoe, R. (n.d.). </w:t>
          </w:r>
          <w:r>
            <w:rPr>
              <w:i/>
              <w:iCs/>
              <w:noProof/>
            </w:rPr>
            <w:t>Auditing Standards for Private Companies.</w:t>
          </w:r>
          <w:r>
            <w:rPr>
              <w:noProof/>
            </w:rPr>
            <w:t xml:space="preserve"> Retrieved from Smallbusiness.Chron.com.</w:t>
          </w:r>
        </w:p>
        <w:p w:rsidR="00CB5D7A" w:rsidRDefault="00CB5D7A" w:rsidP="00CB5D7A">
          <w:pPr>
            <w:pStyle w:val="Bibliography"/>
            <w:ind w:left="720" w:hanging="720"/>
            <w:rPr>
              <w:noProof/>
            </w:rPr>
          </w:pPr>
          <w:r>
            <w:rPr>
              <w:noProof/>
            </w:rPr>
            <w:t xml:space="preserve">Sherman, T. (2012, March 04). </w:t>
          </w:r>
          <w:r>
            <w:rPr>
              <w:i/>
              <w:iCs/>
              <w:noProof/>
            </w:rPr>
            <w:t>The long and wild Crazy Eddie investor fraud case nears the end.</w:t>
          </w:r>
          <w:r>
            <w:rPr>
              <w:noProof/>
            </w:rPr>
            <w:t xml:space="preserve"> Retrieved from NJ.com.</w:t>
          </w:r>
        </w:p>
        <w:p w:rsidR="00CB5D7A" w:rsidRDefault="00CB5D7A" w:rsidP="00CB5D7A">
          <w:pPr>
            <w:pStyle w:val="Bibliography"/>
            <w:ind w:left="720" w:hanging="720"/>
            <w:rPr>
              <w:noProof/>
            </w:rPr>
          </w:pPr>
          <w:r>
            <w:rPr>
              <w:noProof/>
            </w:rPr>
            <w:t xml:space="preserve">SOXCPA. (n.d.). </w:t>
          </w:r>
          <w:r>
            <w:rPr>
              <w:i/>
              <w:iCs/>
              <w:noProof/>
            </w:rPr>
            <w:t>The Sarbanes Oxley Act</w:t>
          </w:r>
          <w:r>
            <w:rPr>
              <w:noProof/>
            </w:rPr>
            <w:t>. Retrieved from WWW.Sarbanes-Oxley-Act.biz: http://www.sarbanes-oxley-act.biz/SarbanesOxleyAct.htm</w:t>
          </w:r>
        </w:p>
        <w:p w:rsidR="00CB5D7A" w:rsidRDefault="00CB5D7A" w:rsidP="00CB5D7A">
          <w:pPr>
            <w:pStyle w:val="Bibliography"/>
            <w:ind w:left="720" w:hanging="720"/>
            <w:rPr>
              <w:noProof/>
            </w:rPr>
          </w:pPr>
          <w:r>
            <w:rPr>
              <w:noProof/>
            </w:rPr>
            <w:t xml:space="preserve">The Fraud Journal. (2011, May 14). </w:t>
          </w:r>
          <w:r>
            <w:rPr>
              <w:i/>
              <w:iCs/>
              <w:noProof/>
            </w:rPr>
            <w:t>TheFraudJournal.com</w:t>
          </w:r>
          <w:r>
            <w:rPr>
              <w:noProof/>
            </w:rPr>
            <w:t>. Retrieved April 9, 2015</w:t>
          </w:r>
        </w:p>
        <w:p w:rsidR="00CB5D7A" w:rsidRDefault="00CB5D7A" w:rsidP="00CB5D7A">
          <w:pPr>
            <w:pStyle w:val="Bibliography"/>
            <w:ind w:left="720" w:hanging="720"/>
            <w:rPr>
              <w:noProof/>
            </w:rPr>
          </w:pPr>
          <w:r>
            <w:rPr>
              <w:noProof/>
            </w:rPr>
            <w:t xml:space="preserve">Voris, B. V. (2014, March 29). </w:t>
          </w:r>
          <w:r>
            <w:rPr>
              <w:i/>
              <w:iCs/>
              <w:noProof/>
            </w:rPr>
            <w:t>MF Global Sues PricewaterhouseCoopers Over Its Accounting</w:t>
          </w:r>
          <w:r>
            <w:rPr>
              <w:noProof/>
            </w:rPr>
            <w:t>. Retrieved from BloombergBusiness.com: http://www.bloomberg.com/news/articles/2014-03-28/mf-global-sues-pricewaterhousecoopers-over-its-accounting</w:t>
          </w:r>
        </w:p>
        <w:p w:rsidR="00CB5D7A" w:rsidRDefault="00CB5D7A" w:rsidP="00CB5D7A">
          <w:pPr>
            <w:pStyle w:val="Bibliography"/>
            <w:ind w:left="720" w:hanging="720"/>
            <w:rPr>
              <w:noProof/>
            </w:rPr>
          </w:pPr>
          <w:r>
            <w:rPr>
              <w:noProof/>
            </w:rPr>
            <w:t xml:space="preserve">White Collar Fraud. (2005). </w:t>
          </w:r>
          <w:r>
            <w:rPr>
              <w:i/>
              <w:iCs/>
              <w:noProof/>
            </w:rPr>
            <w:t>http://www.whitecollarfraud.com/The_Fall_of_Crazy_Eddie.html</w:t>
          </w:r>
          <w:r>
            <w:rPr>
              <w:noProof/>
            </w:rPr>
            <w:t>.</w:t>
          </w:r>
        </w:p>
        <w:p w:rsidR="00CB5D7A" w:rsidRDefault="00CB5D7A" w:rsidP="00CB5D7A">
          <w:r>
            <w:rPr>
              <w:b/>
              <w:bCs/>
            </w:rPr>
            <w:fldChar w:fldCharType="end"/>
          </w:r>
        </w:p>
      </w:sdtContent>
    </w:sdt>
    <w:p w:rsidR="00CB5D7A" w:rsidRDefault="00CB5D7A"/>
    <w:sectPr w:rsidR="00CB5D7A" w:rsidSect="00E54392">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5C3C" w:rsidRDefault="00625C3C" w:rsidP="0011133B">
      <w:pPr>
        <w:spacing w:after="0" w:line="240" w:lineRule="auto"/>
      </w:pPr>
      <w:r>
        <w:separator/>
      </w:r>
    </w:p>
  </w:endnote>
  <w:endnote w:type="continuationSeparator" w:id="0">
    <w:p w:rsidR="00625C3C" w:rsidRDefault="00625C3C" w:rsidP="001113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Arial Unicode MS">
    <w:panose1 w:val="020B0604020202020204"/>
    <w:charset w:val="00"/>
    <w:family w:val="auto"/>
    <w:pitch w:val="variable"/>
    <w:sig w:usb0="F7FFAFFF" w:usb1="E9DFFFFF" w:usb2="0000003F" w:usb3="00000000" w:csb0="003F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5C3C" w:rsidRDefault="00625C3C" w:rsidP="0011133B">
      <w:pPr>
        <w:spacing w:after="0" w:line="240" w:lineRule="auto"/>
      </w:pPr>
      <w:r>
        <w:separator/>
      </w:r>
    </w:p>
  </w:footnote>
  <w:footnote w:type="continuationSeparator" w:id="0">
    <w:p w:rsidR="00625C3C" w:rsidRDefault="00625C3C" w:rsidP="0011133B">
      <w:pPr>
        <w:spacing w:after="0" w:line="240" w:lineRule="auto"/>
      </w:pPr>
      <w:r>
        <w:continuationSeparator/>
      </w:r>
    </w:p>
  </w:footnote>
  <w:footnote w:id="1">
    <w:p w:rsidR="009E0726" w:rsidRDefault="009E0726" w:rsidP="0011133B">
      <w:pPr>
        <w:pStyle w:val="FootnoteText"/>
      </w:pPr>
      <w:r>
        <w:rPr>
          <w:rStyle w:val="FootnoteReference"/>
        </w:rPr>
        <w:footnoteRef/>
      </w:r>
      <w:r>
        <w:t xml:space="preserve"> </w:t>
      </w:r>
      <w:sdt>
        <w:sdtPr>
          <w:id w:val="313613955"/>
          <w:citation/>
        </w:sdtPr>
        <w:sdtEndPr/>
        <w:sdtContent>
          <w:r>
            <w:fldChar w:fldCharType="begin"/>
          </w:r>
          <w:r>
            <w:instrText xml:space="preserve"> CITATION Ass14 \l 1033 </w:instrText>
          </w:r>
          <w:r>
            <w:fldChar w:fldCharType="separate"/>
          </w:r>
          <w:r>
            <w:rPr>
              <w:noProof/>
            </w:rPr>
            <w:t>(Association of Certified Fraud Examiners)</w:t>
          </w:r>
          <w:r>
            <w:fldChar w:fldCharType="end"/>
          </w:r>
        </w:sdtContent>
      </w:sdt>
    </w:p>
  </w:footnote>
  <w:footnote w:id="2">
    <w:p w:rsidR="009E0726" w:rsidRDefault="009E0726" w:rsidP="00C14DF9">
      <w:pPr>
        <w:pStyle w:val="FootnoteText"/>
      </w:pPr>
      <w:r>
        <w:rPr>
          <w:rStyle w:val="FootnoteReference"/>
        </w:rPr>
        <w:footnoteRef/>
      </w:r>
      <w:r>
        <w:t xml:space="preserve"> Sam Antar from WhiteCollarFraud.com</w:t>
      </w:r>
    </w:p>
  </w:footnote>
  <w:footnote w:id="3">
    <w:p w:rsidR="009E0726" w:rsidRDefault="009E0726" w:rsidP="00C14DF9">
      <w:pPr>
        <w:pStyle w:val="FootnoteText"/>
      </w:pPr>
      <w:r>
        <w:rPr>
          <w:rStyle w:val="FootnoteReference"/>
        </w:rPr>
        <w:footnoteRef/>
      </w:r>
      <w:r>
        <w:t xml:space="preserve"> William Shaftoe</w:t>
      </w:r>
    </w:p>
  </w:footnote>
  <w:footnote w:id="4">
    <w:p w:rsidR="009E0726" w:rsidRDefault="009E0726" w:rsidP="00C14DF9">
      <w:pPr>
        <w:pStyle w:val="FootnoteText"/>
      </w:pPr>
      <w:r>
        <w:rPr>
          <w:rStyle w:val="FootnoteReference"/>
        </w:rPr>
        <w:footnoteRef/>
      </w:r>
      <w:r>
        <w:t xml:space="preserve"> White Collar Fraud</w:t>
      </w:r>
    </w:p>
  </w:footnote>
  <w:footnote w:id="5">
    <w:p w:rsidR="009E0726" w:rsidRDefault="009E0726" w:rsidP="00C14DF9">
      <w:pPr>
        <w:pStyle w:val="FootnoteText"/>
      </w:pPr>
      <w:r>
        <w:rPr>
          <w:rStyle w:val="FootnoteReference"/>
        </w:rPr>
        <w:footnoteRef/>
      </w:r>
      <w:r>
        <w:t xml:space="preserve"> -White Collar Fraud</w:t>
      </w:r>
    </w:p>
  </w:footnote>
  <w:footnote w:id="6">
    <w:p w:rsidR="009E0726" w:rsidRDefault="009E0726" w:rsidP="00C14DF9">
      <w:pPr>
        <w:pStyle w:val="FootnoteText"/>
      </w:pPr>
      <w:r>
        <w:rPr>
          <w:rStyle w:val="FootnoteReference"/>
        </w:rPr>
        <w:footnoteRef/>
      </w:r>
      <w:r>
        <w:t xml:space="preserve"> Ted Sherman ; The long and wild Crazy Eddie investor fraud case nears the end</w:t>
      </w:r>
    </w:p>
  </w:footnote>
  <w:footnote w:id="7">
    <w:p w:rsidR="009E0726" w:rsidRDefault="009E0726" w:rsidP="00C14DF9">
      <w:pPr>
        <w:pStyle w:val="FootnoteText"/>
      </w:pPr>
      <w:r>
        <w:rPr>
          <w:rStyle w:val="FootnoteReference"/>
        </w:rPr>
        <w:footnoteRef/>
      </w:r>
      <w:r>
        <w:t xml:space="preserve"> Michael Knapp; Contemporary Auditing</w:t>
      </w:r>
    </w:p>
  </w:footnote>
  <w:footnote w:id="8">
    <w:p w:rsidR="009E0726" w:rsidRDefault="009E0726" w:rsidP="00C14DF9">
      <w:pPr>
        <w:pStyle w:val="FootnoteText"/>
      </w:pPr>
      <w:r>
        <w:rPr>
          <w:rStyle w:val="FootnoteReference"/>
        </w:rPr>
        <w:footnoteRef/>
      </w:r>
      <w:r>
        <w:t xml:space="preserve"> Sam Antar, whitecollarfraud.com</w:t>
      </w:r>
    </w:p>
  </w:footnote>
  <w:footnote w:id="9">
    <w:p w:rsidR="009E0726" w:rsidRDefault="009E0726" w:rsidP="00C14DF9">
      <w:pPr>
        <w:pStyle w:val="FootnoteText"/>
      </w:pPr>
      <w:r>
        <w:rPr>
          <w:rStyle w:val="FootnoteReference"/>
        </w:rPr>
        <w:footnoteRef/>
      </w:r>
      <w:r>
        <w:t xml:space="preserve"> Horizontal analysis of Crazy Eddie Financial statements</w:t>
      </w:r>
    </w:p>
  </w:footnote>
  <w:footnote w:id="10">
    <w:p w:rsidR="009E0726" w:rsidRDefault="009E0726" w:rsidP="00C14DF9">
      <w:pPr>
        <w:pStyle w:val="FootnoteText"/>
      </w:pPr>
      <w:r>
        <w:rPr>
          <w:rStyle w:val="FootnoteReference"/>
        </w:rPr>
        <w:footnoteRef/>
      </w:r>
      <w:r>
        <w:t xml:space="preserve"> Horizontal Analysis of Crazy Eddie Financial Statements</w:t>
      </w:r>
    </w:p>
  </w:footnote>
  <w:footnote w:id="11">
    <w:p w:rsidR="009E0726" w:rsidRDefault="009E0726" w:rsidP="00C14DF9">
      <w:pPr>
        <w:pStyle w:val="FootnoteText"/>
      </w:pPr>
      <w:r>
        <w:rPr>
          <w:rStyle w:val="FootnoteReference"/>
        </w:rPr>
        <w:footnoteRef/>
      </w:r>
      <w:r>
        <w:t xml:space="preserve"> White Collar Fraud</w:t>
      </w:r>
    </w:p>
  </w:footnote>
  <w:footnote w:id="12">
    <w:p w:rsidR="009E0726" w:rsidRDefault="009E0726" w:rsidP="00C14DF9">
      <w:pPr>
        <w:pStyle w:val="FootnoteText"/>
      </w:pPr>
      <w:r>
        <w:rPr>
          <w:rStyle w:val="FootnoteReference"/>
        </w:rPr>
        <w:footnoteRef/>
      </w:r>
      <w:r>
        <w:t xml:space="preserve"> Michael Knapp, Contemporary Auditing 9</w:t>
      </w:r>
      <w:r w:rsidRPr="003072A6">
        <w:rPr>
          <w:vertAlign w:val="superscript"/>
        </w:rPr>
        <w:t>th</w:t>
      </w:r>
      <w:r>
        <w:t xml:space="preserve"> Edition</w:t>
      </w:r>
    </w:p>
  </w:footnote>
  <w:footnote w:id="13">
    <w:p w:rsidR="009E0726" w:rsidRDefault="009E0726" w:rsidP="00C14DF9">
      <w:pPr>
        <w:pStyle w:val="FootnoteText"/>
      </w:pPr>
      <w:r>
        <w:rPr>
          <w:rStyle w:val="FootnoteReference"/>
        </w:rPr>
        <w:footnoteRef/>
      </w:r>
      <w:r>
        <w:t xml:space="preserve"> Sam Antar, The Crazy Eddie Fraud</w:t>
      </w:r>
    </w:p>
  </w:footnote>
  <w:footnote w:id="14">
    <w:p w:rsidR="009E0726" w:rsidRDefault="009E0726" w:rsidP="00C14DF9">
      <w:pPr>
        <w:pStyle w:val="FootnoteText"/>
      </w:pPr>
      <w:r>
        <w:rPr>
          <w:rStyle w:val="FootnoteReference"/>
        </w:rPr>
        <w:footnoteRef/>
      </w:r>
      <w:r>
        <w:t xml:space="preserve"> Sam Antar, White Collar Fraud</w:t>
      </w:r>
    </w:p>
  </w:footnote>
  <w:footnote w:id="15">
    <w:p w:rsidR="009E0726" w:rsidRDefault="009E0726" w:rsidP="00C14DF9">
      <w:pPr>
        <w:pStyle w:val="FootnoteText"/>
      </w:pPr>
      <w:r>
        <w:rPr>
          <w:rStyle w:val="FootnoteReference"/>
        </w:rPr>
        <w:footnoteRef/>
      </w:r>
      <w:r>
        <w:t xml:space="preserve"> Horizontal analysis of Crazy Eddie Financial Statements</w:t>
      </w:r>
    </w:p>
  </w:footnote>
  <w:footnote w:id="16">
    <w:p w:rsidR="009E0726" w:rsidRDefault="009E0726" w:rsidP="00C14DF9">
      <w:pPr>
        <w:pStyle w:val="FootnoteText"/>
      </w:pPr>
      <w:r>
        <w:rPr>
          <w:rStyle w:val="FootnoteReference"/>
        </w:rPr>
        <w:footnoteRef/>
      </w:r>
      <w:r>
        <w:t xml:space="preserve"> White Collar Fraud</w:t>
      </w:r>
    </w:p>
  </w:footnote>
  <w:footnote w:id="17">
    <w:p w:rsidR="009E0726" w:rsidRDefault="009E0726">
      <w:pPr>
        <w:pStyle w:val="FootnoteText"/>
      </w:pPr>
      <w:r>
        <w:rPr>
          <w:rStyle w:val="FootnoteReference"/>
        </w:rPr>
        <w:footnoteRef/>
      </w:r>
      <w:r>
        <w:t xml:space="preserve"> The Sarbanes Oxley Act</w:t>
      </w:r>
    </w:p>
  </w:footnote>
  <w:footnote w:id="18">
    <w:p w:rsidR="00C05882" w:rsidRDefault="00C05882">
      <w:pPr>
        <w:pStyle w:val="FootnoteText"/>
      </w:pPr>
      <w:r>
        <w:rPr>
          <w:rStyle w:val="FootnoteReference"/>
        </w:rPr>
        <w:footnoteRef/>
      </w:r>
      <w:r>
        <w:t xml:space="preserve"> Forbes.com</w:t>
      </w:r>
    </w:p>
  </w:footnote>
  <w:footnote w:id="19">
    <w:p w:rsidR="00121F68" w:rsidRDefault="00121F68">
      <w:pPr>
        <w:pStyle w:val="FootnoteText"/>
      </w:pPr>
      <w:r>
        <w:rPr>
          <w:rStyle w:val="FootnoteReference"/>
        </w:rPr>
        <w:footnoteRef/>
      </w:r>
      <w:r>
        <w:t xml:space="preserve"> Daniel Collins, Futuresmag.com</w:t>
      </w:r>
    </w:p>
  </w:footnote>
  <w:footnote w:id="20">
    <w:p w:rsidR="00C27A64" w:rsidRDefault="00C27A64">
      <w:pPr>
        <w:pStyle w:val="FootnoteText"/>
      </w:pPr>
      <w:r>
        <w:rPr>
          <w:rStyle w:val="FootnoteReference"/>
        </w:rPr>
        <w:footnoteRef/>
      </w:r>
      <w:r>
        <w:t xml:space="preserve"> Bob Adelmann, The New American</w:t>
      </w:r>
    </w:p>
  </w:footnote>
  <w:footnote w:id="21">
    <w:p w:rsidR="00EF02E1" w:rsidRDefault="00EF02E1">
      <w:pPr>
        <w:pStyle w:val="FootnoteText"/>
      </w:pPr>
      <w:r>
        <w:rPr>
          <w:rStyle w:val="FootnoteReference"/>
        </w:rPr>
        <w:footnoteRef/>
      </w:r>
      <w:r>
        <w:t xml:space="preserve"> Bloomberg Business</w:t>
      </w:r>
    </w:p>
  </w:footnote>
  <w:footnote w:id="22">
    <w:p w:rsidR="00AD6C48" w:rsidRDefault="00AD6C48">
      <w:pPr>
        <w:pStyle w:val="FootnoteText"/>
      </w:pPr>
      <w:r>
        <w:rPr>
          <w:rStyle w:val="FootnoteReference"/>
        </w:rPr>
        <w:footnoteRef/>
      </w:r>
      <w:r>
        <w:t xml:space="preserve"> Accounting Today</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392"/>
    <w:rsid w:val="0011133B"/>
    <w:rsid w:val="00121F68"/>
    <w:rsid w:val="00240F98"/>
    <w:rsid w:val="002F3676"/>
    <w:rsid w:val="004258E2"/>
    <w:rsid w:val="004744A6"/>
    <w:rsid w:val="004B111D"/>
    <w:rsid w:val="005154C6"/>
    <w:rsid w:val="005F0FEB"/>
    <w:rsid w:val="00625C3C"/>
    <w:rsid w:val="00657029"/>
    <w:rsid w:val="00671F81"/>
    <w:rsid w:val="006D0644"/>
    <w:rsid w:val="007027CD"/>
    <w:rsid w:val="0073246F"/>
    <w:rsid w:val="00766E40"/>
    <w:rsid w:val="00790387"/>
    <w:rsid w:val="007C283F"/>
    <w:rsid w:val="007D14A8"/>
    <w:rsid w:val="00835A6B"/>
    <w:rsid w:val="00997158"/>
    <w:rsid w:val="009E0726"/>
    <w:rsid w:val="00A4270D"/>
    <w:rsid w:val="00A93D71"/>
    <w:rsid w:val="00AD6C48"/>
    <w:rsid w:val="00AF0F5C"/>
    <w:rsid w:val="00C05882"/>
    <w:rsid w:val="00C14DF9"/>
    <w:rsid w:val="00C22425"/>
    <w:rsid w:val="00C27A64"/>
    <w:rsid w:val="00C81770"/>
    <w:rsid w:val="00CB5D7A"/>
    <w:rsid w:val="00D02A21"/>
    <w:rsid w:val="00E54392"/>
    <w:rsid w:val="00E70D5A"/>
    <w:rsid w:val="00E73F01"/>
    <w:rsid w:val="00EC115F"/>
    <w:rsid w:val="00EF02E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sz w:val="24"/>
        <w:szCs w:val="22"/>
        <w:lang w:val="en-US" w:eastAsia="en-US" w:bidi="ar-SA"/>
      </w:rPr>
    </w:rPrDefault>
    <w:pPrDefault>
      <w:pPr>
        <w:spacing w:after="200" w:line="480"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B5D7A"/>
    <w:pPr>
      <w:keepNext/>
      <w:keepLines/>
      <w:spacing w:before="480" w:after="0" w:line="276" w:lineRule="auto"/>
      <w:outlineLvl w:val="0"/>
    </w:pPr>
    <w:rPr>
      <w:rFonts w:asciiTheme="majorHAnsi" w:eastAsiaTheme="majorEastAsia" w:hAnsiTheme="majorHAnsi" w:cstheme="majorBidi"/>
      <w:b/>
      <w:bCs/>
      <w:color w:val="365F91" w:themeColor="accent1" w:themeShade="BF"/>
      <w:sz w:val="28"/>
      <w:szCs w:val="2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E54392"/>
    <w:pPr>
      <w:spacing w:after="0" w:line="240" w:lineRule="auto"/>
    </w:pPr>
    <w:rPr>
      <w:rFonts w:asciiTheme="minorHAnsi" w:eastAsiaTheme="minorEastAsia" w:hAnsiTheme="minorHAnsi"/>
      <w:sz w:val="22"/>
      <w:lang w:eastAsia="ja-JP"/>
    </w:rPr>
  </w:style>
  <w:style w:type="character" w:customStyle="1" w:styleId="NoSpacingChar">
    <w:name w:val="No Spacing Char"/>
    <w:basedOn w:val="DefaultParagraphFont"/>
    <w:link w:val="NoSpacing"/>
    <w:uiPriority w:val="1"/>
    <w:rsid w:val="00E54392"/>
    <w:rPr>
      <w:rFonts w:asciiTheme="minorHAnsi" w:eastAsiaTheme="minorEastAsia" w:hAnsiTheme="minorHAnsi"/>
      <w:sz w:val="22"/>
      <w:lang w:eastAsia="ja-JP"/>
    </w:rPr>
  </w:style>
  <w:style w:type="paragraph" w:styleId="BalloonText">
    <w:name w:val="Balloon Text"/>
    <w:basedOn w:val="Normal"/>
    <w:link w:val="BalloonTextChar"/>
    <w:uiPriority w:val="99"/>
    <w:semiHidden/>
    <w:unhideWhenUsed/>
    <w:rsid w:val="00E543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392"/>
    <w:rPr>
      <w:rFonts w:ascii="Tahoma" w:hAnsi="Tahoma" w:cs="Tahoma"/>
      <w:sz w:val="16"/>
      <w:szCs w:val="16"/>
    </w:rPr>
  </w:style>
  <w:style w:type="paragraph" w:styleId="FootnoteText">
    <w:name w:val="footnote text"/>
    <w:basedOn w:val="Normal"/>
    <w:link w:val="FootnoteTextChar"/>
    <w:uiPriority w:val="99"/>
    <w:semiHidden/>
    <w:unhideWhenUsed/>
    <w:rsid w:val="0011133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1133B"/>
    <w:rPr>
      <w:sz w:val="20"/>
      <w:szCs w:val="20"/>
    </w:rPr>
  </w:style>
  <w:style w:type="character" w:styleId="FootnoteReference">
    <w:name w:val="footnote reference"/>
    <w:basedOn w:val="DefaultParagraphFont"/>
    <w:uiPriority w:val="99"/>
    <w:semiHidden/>
    <w:unhideWhenUsed/>
    <w:rsid w:val="0011133B"/>
    <w:rPr>
      <w:vertAlign w:val="superscript"/>
    </w:rPr>
  </w:style>
  <w:style w:type="paragraph" w:customStyle="1" w:styleId="Author">
    <w:name w:val="Author"/>
    <w:basedOn w:val="BodyText"/>
    <w:rsid w:val="009E0726"/>
    <w:pPr>
      <w:tabs>
        <w:tab w:val="right" w:pos="8640"/>
      </w:tabs>
      <w:spacing w:after="0"/>
      <w:jc w:val="center"/>
    </w:pPr>
    <w:rPr>
      <w:rFonts w:ascii="Garamond" w:eastAsia="Times New Roman" w:hAnsi="Garamond" w:cs="Times New Roman"/>
      <w:spacing w:val="-2"/>
      <w:szCs w:val="20"/>
    </w:rPr>
  </w:style>
  <w:style w:type="paragraph" w:styleId="Date">
    <w:name w:val="Date"/>
    <w:basedOn w:val="BodyText"/>
    <w:link w:val="DateChar"/>
    <w:rsid w:val="009E0726"/>
    <w:pPr>
      <w:tabs>
        <w:tab w:val="right" w:pos="8640"/>
      </w:tabs>
      <w:spacing w:after="560" w:line="360" w:lineRule="auto"/>
      <w:jc w:val="center"/>
    </w:pPr>
    <w:rPr>
      <w:rFonts w:ascii="Garamond" w:eastAsia="Times New Roman" w:hAnsi="Garamond" w:cs="Times New Roman"/>
      <w:spacing w:val="-2"/>
      <w:szCs w:val="20"/>
    </w:rPr>
  </w:style>
  <w:style w:type="character" w:customStyle="1" w:styleId="DateChar">
    <w:name w:val="Date Char"/>
    <w:basedOn w:val="DefaultParagraphFont"/>
    <w:link w:val="Date"/>
    <w:rsid w:val="009E0726"/>
    <w:rPr>
      <w:rFonts w:ascii="Garamond" w:eastAsia="Times New Roman" w:hAnsi="Garamond" w:cs="Times New Roman"/>
      <w:spacing w:val="-2"/>
      <w:szCs w:val="20"/>
    </w:rPr>
  </w:style>
  <w:style w:type="paragraph" w:customStyle="1" w:styleId="InformationLines">
    <w:name w:val="Information Lines"/>
    <w:basedOn w:val="Normal"/>
    <w:link w:val="InformationLinesChar"/>
    <w:rsid w:val="009E0726"/>
    <w:pPr>
      <w:tabs>
        <w:tab w:val="right" w:leader="underscore" w:pos="7445"/>
      </w:tabs>
      <w:spacing w:after="0" w:line="360" w:lineRule="auto"/>
      <w:ind w:left="1440" w:right="720"/>
      <w:jc w:val="both"/>
    </w:pPr>
    <w:rPr>
      <w:rFonts w:ascii="Garamond" w:eastAsia="Times New Roman" w:hAnsi="Garamond" w:cs="Times New Roman"/>
      <w:spacing w:val="-2"/>
      <w:szCs w:val="20"/>
    </w:rPr>
  </w:style>
  <w:style w:type="paragraph" w:styleId="Title">
    <w:name w:val="Title"/>
    <w:basedOn w:val="Normal"/>
    <w:next w:val="Subtitle"/>
    <w:link w:val="TitleChar"/>
    <w:qFormat/>
    <w:rsid w:val="009E0726"/>
    <w:pPr>
      <w:tabs>
        <w:tab w:val="right" w:pos="8640"/>
      </w:tabs>
      <w:spacing w:after="280" w:line="240" w:lineRule="auto"/>
      <w:jc w:val="center"/>
    </w:pPr>
    <w:rPr>
      <w:rFonts w:ascii="Garamond" w:eastAsia="Times New Roman" w:hAnsi="Garamond" w:cs="Times New Roman"/>
      <w:spacing w:val="-2"/>
      <w:szCs w:val="20"/>
    </w:rPr>
  </w:style>
  <w:style w:type="character" w:customStyle="1" w:styleId="TitleChar">
    <w:name w:val="Title Char"/>
    <w:basedOn w:val="DefaultParagraphFont"/>
    <w:link w:val="Title"/>
    <w:rsid w:val="009E0726"/>
    <w:rPr>
      <w:rFonts w:ascii="Garamond" w:eastAsia="Times New Roman" w:hAnsi="Garamond" w:cs="Times New Roman"/>
      <w:spacing w:val="-2"/>
      <w:szCs w:val="20"/>
    </w:rPr>
  </w:style>
  <w:style w:type="paragraph" w:customStyle="1" w:styleId="SubtitleCover">
    <w:name w:val="Subtitle Cover"/>
    <w:basedOn w:val="Normal"/>
    <w:next w:val="BodyText"/>
    <w:rsid w:val="009E0726"/>
    <w:pPr>
      <w:keepNext/>
      <w:tabs>
        <w:tab w:val="right" w:pos="8640"/>
      </w:tabs>
      <w:spacing w:after="560" w:line="240" w:lineRule="auto"/>
      <w:ind w:left="1800" w:right="1800"/>
      <w:jc w:val="center"/>
    </w:pPr>
    <w:rPr>
      <w:rFonts w:ascii="Garamond" w:eastAsia="Times New Roman" w:hAnsi="Garamond" w:cs="Times New Roman"/>
      <w:spacing w:val="-2"/>
      <w:szCs w:val="20"/>
    </w:rPr>
  </w:style>
  <w:style w:type="paragraph" w:customStyle="1" w:styleId="TitleCover">
    <w:name w:val="Title Cover"/>
    <w:basedOn w:val="Normal"/>
    <w:next w:val="SubtitleCover"/>
    <w:rsid w:val="009E0726"/>
    <w:pPr>
      <w:keepNext/>
      <w:keepLines/>
      <w:tabs>
        <w:tab w:val="right" w:pos="8640"/>
      </w:tabs>
      <w:spacing w:before="780" w:after="420" w:line="240" w:lineRule="auto"/>
      <w:ind w:left="1920" w:right="1920"/>
      <w:jc w:val="center"/>
    </w:pPr>
    <w:rPr>
      <w:rFonts w:ascii="Garamond" w:eastAsia="Times New Roman" w:hAnsi="Garamond" w:cs="Times New Roman"/>
      <w:caps/>
      <w:spacing w:val="5"/>
      <w:kern w:val="28"/>
      <w:szCs w:val="20"/>
    </w:rPr>
  </w:style>
  <w:style w:type="paragraph" w:customStyle="1" w:styleId="Information">
    <w:name w:val="Information"/>
    <w:basedOn w:val="Normal"/>
    <w:rsid w:val="009E0726"/>
    <w:pPr>
      <w:tabs>
        <w:tab w:val="right" w:pos="8640"/>
      </w:tabs>
      <w:spacing w:after="0" w:line="240" w:lineRule="auto"/>
      <w:ind w:right="720"/>
      <w:jc w:val="both"/>
    </w:pPr>
    <w:rPr>
      <w:rFonts w:ascii="Garamond" w:eastAsia="Times New Roman" w:hAnsi="Garamond" w:cs="Times New Roman"/>
      <w:spacing w:val="-2"/>
      <w:szCs w:val="20"/>
    </w:rPr>
  </w:style>
  <w:style w:type="character" w:customStyle="1" w:styleId="InformationLinesChar">
    <w:name w:val="Information Lines Char"/>
    <w:basedOn w:val="DefaultParagraphFont"/>
    <w:link w:val="InformationLines"/>
    <w:rsid w:val="009E0726"/>
    <w:rPr>
      <w:rFonts w:ascii="Garamond" w:eastAsia="Times New Roman" w:hAnsi="Garamond" w:cs="Times New Roman"/>
      <w:spacing w:val="-2"/>
      <w:szCs w:val="20"/>
    </w:rPr>
  </w:style>
  <w:style w:type="paragraph" w:customStyle="1" w:styleId="Program">
    <w:name w:val="Program"/>
    <w:basedOn w:val="Normal"/>
    <w:rsid w:val="009E0726"/>
    <w:pPr>
      <w:tabs>
        <w:tab w:val="right" w:pos="8640"/>
      </w:tabs>
      <w:spacing w:before="280" w:after="560" w:line="240" w:lineRule="auto"/>
      <w:ind w:right="720"/>
      <w:jc w:val="both"/>
    </w:pPr>
    <w:rPr>
      <w:rFonts w:ascii="Garamond" w:eastAsia="Times New Roman" w:hAnsi="Garamond" w:cs="Times New Roman"/>
      <w:spacing w:val="-2"/>
      <w:szCs w:val="20"/>
    </w:rPr>
  </w:style>
  <w:style w:type="paragraph" w:styleId="BodyText">
    <w:name w:val="Body Text"/>
    <w:basedOn w:val="Normal"/>
    <w:link w:val="BodyTextChar"/>
    <w:uiPriority w:val="99"/>
    <w:semiHidden/>
    <w:unhideWhenUsed/>
    <w:rsid w:val="009E0726"/>
    <w:pPr>
      <w:spacing w:after="120"/>
    </w:pPr>
  </w:style>
  <w:style w:type="character" w:customStyle="1" w:styleId="BodyTextChar">
    <w:name w:val="Body Text Char"/>
    <w:basedOn w:val="DefaultParagraphFont"/>
    <w:link w:val="BodyText"/>
    <w:uiPriority w:val="99"/>
    <w:semiHidden/>
    <w:rsid w:val="009E0726"/>
  </w:style>
  <w:style w:type="paragraph" w:styleId="Subtitle">
    <w:name w:val="Subtitle"/>
    <w:basedOn w:val="Normal"/>
    <w:next w:val="Normal"/>
    <w:link w:val="SubtitleChar"/>
    <w:uiPriority w:val="11"/>
    <w:qFormat/>
    <w:rsid w:val="009E0726"/>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9E0726"/>
    <w:rPr>
      <w:rFonts w:asciiTheme="majorHAnsi" w:eastAsiaTheme="majorEastAsia" w:hAnsiTheme="majorHAnsi" w:cstheme="majorBidi"/>
      <w:i/>
      <w:iCs/>
      <w:color w:val="4F81BD" w:themeColor="accent1"/>
      <w:spacing w:val="15"/>
      <w:szCs w:val="24"/>
    </w:rPr>
  </w:style>
  <w:style w:type="character" w:customStyle="1" w:styleId="Heading1Char">
    <w:name w:val="Heading 1 Char"/>
    <w:basedOn w:val="DefaultParagraphFont"/>
    <w:link w:val="Heading1"/>
    <w:uiPriority w:val="9"/>
    <w:rsid w:val="00CB5D7A"/>
    <w:rPr>
      <w:rFonts w:asciiTheme="majorHAnsi" w:eastAsiaTheme="majorEastAsia" w:hAnsiTheme="majorHAnsi" w:cstheme="majorBidi"/>
      <w:b/>
      <w:bCs/>
      <w:color w:val="365F91" w:themeColor="accent1" w:themeShade="BF"/>
      <w:sz w:val="28"/>
      <w:szCs w:val="28"/>
      <w:lang w:eastAsia="ja-JP"/>
    </w:rPr>
  </w:style>
  <w:style w:type="paragraph" w:styleId="Bibliography">
    <w:name w:val="Bibliography"/>
    <w:basedOn w:val="Normal"/>
    <w:next w:val="Normal"/>
    <w:uiPriority w:val="37"/>
    <w:unhideWhenUsed/>
    <w:rsid w:val="00CB5D7A"/>
  </w:style>
  <w:style w:type="paragraph" w:styleId="TOCHeading">
    <w:name w:val="TOC Heading"/>
    <w:basedOn w:val="Heading1"/>
    <w:next w:val="Normal"/>
    <w:uiPriority w:val="39"/>
    <w:unhideWhenUsed/>
    <w:qFormat/>
    <w:rsid w:val="007C283F"/>
    <w:pPr>
      <w:spacing w:before="240" w:line="259" w:lineRule="auto"/>
      <w:outlineLvl w:val="9"/>
    </w:pPr>
    <w:rPr>
      <w:b w:val="0"/>
      <w:bCs w:val="0"/>
      <w:sz w:val="32"/>
      <w:szCs w:val="32"/>
      <w:lang w:eastAsia="en-US"/>
    </w:rPr>
  </w:style>
  <w:style w:type="paragraph" w:styleId="TOC1">
    <w:name w:val="toc 1"/>
    <w:basedOn w:val="Normal"/>
    <w:next w:val="Normal"/>
    <w:autoRedefine/>
    <w:uiPriority w:val="39"/>
    <w:unhideWhenUsed/>
    <w:rsid w:val="007C283F"/>
    <w:pPr>
      <w:spacing w:after="100"/>
    </w:pPr>
  </w:style>
  <w:style w:type="character" w:styleId="Hyperlink">
    <w:name w:val="Hyperlink"/>
    <w:basedOn w:val="DefaultParagraphFont"/>
    <w:uiPriority w:val="99"/>
    <w:unhideWhenUsed/>
    <w:rsid w:val="007C283F"/>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sz w:val="24"/>
        <w:szCs w:val="22"/>
        <w:lang w:val="en-US" w:eastAsia="en-US" w:bidi="ar-SA"/>
      </w:rPr>
    </w:rPrDefault>
    <w:pPrDefault>
      <w:pPr>
        <w:spacing w:after="200" w:line="480"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B5D7A"/>
    <w:pPr>
      <w:keepNext/>
      <w:keepLines/>
      <w:spacing w:before="480" w:after="0" w:line="276" w:lineRule="auto"/>
      <w:outlineLvl w:val="0"/>
    </w:pPr>
    <w:rPr>
      <w:rFonts w:asciiTheme="majorHAnsi" w:eastAsiaTheme="majorEastAsia" w:hAnsiTheme="majorHAnsi" w:cstheme="majorBidi"/>
      <w:b/>
      <w:bCs/>
      <w:color w:val="365F91" w:themeColor="accent1" w:themeShade="BF"/>
      <w:sz w:val="28"/>
      <w:szCs w:val="2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E54392"/>
    <w:pPr>
      <w:spacing w:after="0" w:line="240" w:lineRule="auto"/>
    </w:pPr>
    <w:rPr>
      <w:rFonts w:asciiTheme="minorHAnsi" w:eastAsiaTheme="minorEastAsia" w:hAnsiTheme="minorHAnsi"/>
      <w:sz w:val="22"/>
      <w:lang w:eastAsia="ja-JP"/>
    </w:rPr>
  </w:style>
  <w:style w:type="character" w:customStyle="1" w:styleId="NoSpacingChar">
    <w:name w:val="No Spacing Char"/>
    <w:basedOn w:val="DefaultParagraphFont"/>
    <w:link w:val="NoSpacing"/>
    <w:uiPriority w:val="1"/>
    <w:rsid w:val="00E54392"/>
    <w:rPr>
      <w:rFonts w:asciiTheme="minorHAnsi" w:eastAsiaTheme="minorEastAsia" w:hAnsiTheme="minorHAnsi"/>
      <w:sz w:val="22"/>
      <w:lang w:eastAsia="ja-JP"/>
    </w:rPr>
  </w:style>
  <w:style w:type="paragraph" w:styleId="BalloonText">
    <w:name w:val="Balloon Text"/>
    <w:basedOn w:val="Normal"/>
    <w:link w:val="BalloonTextChar"/>
    <w:uiPriority w:val="99"/>
    <w:semiHidden/>
    <w:unhideWhenUsed/>
    <w:rsid w:val="00E543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392"/>
    <w:rPr>
      <w:rFonts w:ascii="Tahoma" w:hAnsi="Tahoma" w:cs="Tahoma"/>
      <w:sz w:val="16"/>
      <w:szCs w:val="16"/>
    </w:rPr>
  </w:style>
  <w:style w:type="paragraph" w:styleId="FootnoteText">
    <w:name w:val="footnote text"/>
    <w:basedOn w:val="Normal"/>
    <w:link w:val="FootnoteTextChar"/>
    <w:uiPriority w:val="99"/>
    <w:semiHidden/>
    <w:unhideWhenUsed/>
    <w:rsid w:val="0011133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1133B"/>
    <w:rPr>
      <w:sz w:val="20"/>
      <w:szCs w:val="20"/>
    </w:rPr>
  </w:style>
  <w:style w:type="character" w:styleId="FootnoteReference">
    <w:name w:val="footnote reference"/>
    <w:basedOn w:val="DefaultParagraphFont"/>
    <w:uiPriority w:val="99"/>
    <w:semiHidden/>
    <w:unhideWhenUsed/>
    <w:rsid w:val="0011133B"/>
    <w:rPr>
      <w:vertAlign w:val="superscript"/>
    </w:rPr>
  </w:style>
  <w:style w:type="paragraph" w:customStyle="1" w:styleId="Author">
    <w:name w:val="Author"/>
    <w:basedOn w:val="BodyText"/>
    <w:rsid w:val="009E0726"/>
    <w:pPr>
      <w:tabs>
        <w:tab w:val="right" w:pos="8640"/>
      </w:tabs>
      <w:spacing w:after="0"/>
      <w:jc w:val="center"/>
    </w:pPr>
    <w:rPr>
      <w:rFonts w:ascii="Garamond" w:eastAsia="Times New Roman" w:hAnsi="Garamond" w:cs="Times New Roman"/>
      <w:spacing w:val="-2"/>
      <w:szCs w:val="20"/>
    </w:rPr>
  </w:style>
  <w:style w:type="paragraph" w:styleId="Date">
    <w:name w:val="Date"/>
    <w:basedOn w:val="BodyText"/>
    <w:link w:val="DateChar"/>
    <w:rsid w:val="009E0726"/>
    <w:pPr>
      <w:tabs>
        <w:tab w:val="right" w:pos="8640"/>
      </w:tabs>
      <w:spacing w:after="560" w:line="360" w:lineRule="auto"/>
      <w:jc w:val="center"/>
    </w:pPr>
    <w:rPr>
      <w:rFonts w:ascii="Garamond" w:eastAsia="Times New Roman" w:hAnsi="Garamond" w:cs="Times New Roman"/>
      <w:spacing w:val="-2"/>
      <w:szCs w:val="20"/>
    </w:rPr>
  </w:style>
  <w:style w:type="character" w:customStyle="1" w:styleId="DateChar">
    <w:name w:val="Date Char"/>
    <w:basedOn w:val="DefaultParagraphFont"/>
    <w:link w:val="Date"/>
    <w:rsid w:val="009E0726"/>
    <w:rPr>
      <w:rFonts w:ascii="Garamond" w:eastAsia="Times New Roman" w:hAnsi="Garamond" w:cs="Times New Roman"/>
      <w:spacing w:val="-2"/>
      <w:szCs w:val="20"/>
    </w:rPr>
  </w:style>
  <w:style w:type="paragraph" w:customStyle="1" w:styleId="InformationLines">
    <w:name w:val="Information Lines"/>
    <w:basedOn w:val="Normal"/>
    <w:link w:val="InformationLinesChar"/>
    <w:rsid w:val="009E0726"/>
    <w:pPr>
      <w:tabs>
        <w:tab w:val="right" w:leader="underscore" w:pos="7445"/>
      </w:tabs>
      <w:spacing w:after="0" w:line="360" w:lineRule="auto"/>
      <w:ind w:left="1440" w:right="720"/>
      <w:jc w:val="both"/>
    </w:pPr>
    <w:rPr>
      <w:rFonts w:ascii="Garamond" w:eastAsia="Times New Roman" w:hAnsi="Garamond" w:cs="Times New Roman"/>
      <w:spacing w:val="-2"/>
      <w:szCs w:val="20"/>
    </w:rPr>
  </w:style>
  <w:style w:type="paragraph" w:styleId="Title">
    <w:name w:val="Title"/>
    <w:basedOn w:val="Normal"/>
    <w:next w:val="Subtitle"/>
    <w:link w:val="TitleChar"/>
    <w:qFormat/>
    <w:rsid w:val="009E0726"/>
    <w:pPr>
      <w:tabs>
        <w:tab w:val="right" w:pos="8640"/>
      </w:tabs>
      <w:spacing w:after="280" w:line="240" w:lineRule="auto"/>
      <w:jc w:val="center"/>
    </w:pPr>
    <w:rPr>
      <w:rFonts w:ascii="Garamond" w:eastAsia="Times New Roman" w:hAnsi="Garamond" w:cs="Times New Roman"/>
      <w:spacing w:val="-2"/>
      <w:szCs w:val="20"/>
    </w:rPr>
  </w:style>
  <w:style w:type="character" w:customStyle="1" w:styleId="TitleChar">
    <w:name w:val="Title Char"/>
    <w:basedOn w:val="DefaultParagraphFont"/>
    <w:link w:val="Title"/>
    <w:rsid w:val="009E0726"/>
    <w:rPr>
      <w:rFonts w:ascii="Garamond" w:eastAsia="Times New Roman" w:hAnsi="Garamond" w:cs="Times New Roman"/>
      <w:spacing w:val="-2"/>
      <w:szCs w:val="20"/>
    </w:rPr>
  </w:style>
  <w:style w:type="paragraph" w:customStyle="1" w:styleId="SubtitleCover">
    <w:name w:val="Subtitle Cover"/>
    <w:basedOn w:val="Normal"/>
    <w:next w:val="BodyText"/>
    <w:rsid w:val="009E0726"/>
    <w:pPr>
      <w:keepNext/>
      <w:tabs>
        <w:tab w:val="right" w:pos="8640"/>
      </w:tabs>
      <w:spacing w:after="560" w:line="240" w:lineRule="auto"/>
      <w:ind w:left="1800" w:right="1800"/>
      <w:jc w:val="center"/>
    </w:pPr>
    <w:rPr>
      <w:rFonts w:ascii="Garamond" w:eastAsia="Times New Roman" w:hAnsi="Garamond" w:cs="Times New Roman"/>
      <w:spacing w:val="-2"/>
      <w:szCs w:val="20"/>
    </w:rPr>
  </w:style>
  <w:style w:type="paragraph" w:customStyle="1" w:styleId="TitleCover">
    <w:name w:val="Title Cover"/>
    <w:basedOn w:val="Normal"/>
    <w:next w:val="SubtitleCover"/>
    <w:rsid w:val="009E0726"/>
    <w:pPr>
      <w:keepNext/>
      <w:keepLines/>
      <w:tabs>
        <w:tab w:val="right" w:pos="8640"/>
      </w:tabs>
      <w:spacing w:before="780" w:after="420" w:line="240" w:lineRule="auto"/>
      <w:ind w:left="1920" w:right="1920"/>
      <w:jc w:val="center"/>
    </w:pPr>
    <w:rPr>
      <w:rFonts w:ascii="Garamond" w:eastAsia="Times New Roman" w:hAnsi="Garamond" w:cs="Times New Roman"/>
      <w:caps/>
      <w:spacing w:val="5"/>
      <w:kern w:val="28"/>
      <w:szCs w:val="20"/>
    </w:rPr>
  </w:style>
  <w:style w:type="paragraph" w:customStyle="1" w:styleId="Information">
    <w:name w:val="Information"/>
    <w:basedOn w:val="Normal"/>
    <w:rsid w:val="009E0726"/>
    <w:pPr>
      <w:tabs>
        <w:tab w:val="right" w:pos="8640"/>
      </w:tabs>
      <w:spacing w:after="0" w:line="240" w:lineRule="auto"/>
      <w:ind w:right="720"/>
      <w:jc w:val="both"/>
    </w:pPr>
    <w:rPr>
      <w:rFonts w:ascii="Garamond" w:eastAsia="Times New Roman" w:hAnsi="Garamond" w:cs="Times New Roman"/>
      <w:spacing w:val="-2"/>
      <w:szCs w:val="20"/>
    </w:rPr>
  </w:style>
  <w:style w:type="character" w:customStyle="1" w:styleId="InformationLinesChar">
    <w:name w:val="Information Lines Char"/>
    <w:basedOn w:val="DefaultParagraphFont"/>
    <w:link w:val="InformationLines"/>
    <w:rsid w:val="009E0726"/>
    <w:rPr>
      <w:rFonts w:ascii="Garamond" w:eastAsia="Times New Roman" w:hAnsi="Garamond" w:cs="Times New Roman"/>
      <w:spacing w:val="-2"/>
      <w:szCs w:val="20"/>
    </w:rPr>
  </w:style>
  <w:style w:type="paragraph" w:customStyle="1" w:styleId="Program">
    <w:name w:val="Program"/>
    <w:basedOn w:val="Normal"/>
    <w:rsid w:val="009E0726"/>
    <w:pPr>
      <w:tabs>
        <w:tab w:val="right" w:pos="8640"/>
      </w:tabs>
      <w:spacing w:before="280" w:after="560" w:line="240" w:lineRule="auto"/>
      <w:ind w:right="720"/>
      <w:jc w:val="both"/>
    </w:pPr>
    <w:rPr>
      <w:rFonts w:ascii="Garamond" w:eastAsia="Times New Roman" w:hAnsi="Garamond" w:cs="Times New Roman"/>
      <w:spacing w:val="-2"/>
      <w:szCs w:val="20"/>
    </w:rPr>
  </w:style>
  <w:style w:type="paragraph" w:styleId="BodyText">
    <w:name w:val="Body Text"/>
    <w:basedOn w:val="Normal"/>
    <w:link w:val="BodyTextChar"/>
    <w:uiPriority w:val="99"/>
    <w:semiHidden/>
    <w:unhideWhenUsed/>
    <w:rsid w:val="009E0726"/>
    <w:pPr>
      <w:spacing w:after="120"/>
    </w:pPr>
  </w:style>
  <w:style w:type="character" w:customStyle="1" w:styleId="BodyTextChar">
    <w:name w:val="Body Text Char"/>
    <w:basedOn w:val="DefaultParagraphFont"/>
    <w:link w:val="BodyText"/>
    <w:uiPriority w:val="99"/>
    <w:semiHidden/>
    <w:rsid w:val="009E0726"/>
  </w:style>
  <w:style w:type="paragraph" w:styleId="Subtitle">
    <w:name w:val="Subtitle"/>
    <w:basedOn w:val="Normal"/>
    <w:next w:val="Normal"/>
    <w:link w:val="SubtitleChar"/>
    <w:uiPriority w:val="11"/>
    <w:qFormat/>
    <w:rsid w:val="009E0726"/>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9E0726"/>
    <w:rPr>
      <w:rFonts w:asciiTheme="majorHAnsi" w:eastAsiaTheme="majorEastAsia" w:hAnsiTheme="majorHAnsi" w:cstheme="majorBidi"/>
      <w:i/>
      <w:iCs/>
      <w:color w:val="4F81BD" w:themeColor="accent1"/>
      <w:spacing w:val="15"/>
      <w:szCs w:val="24"/>
    </w:rPr>
  </w:style>
  <w:style w:type="character" w:customStyle="1" w:styleId="Heading1Char">
    <w:name w:val="Heading 1 Char"/>
    <w:basedOn w:val="DefaultParagraphFont"/>
    <w:link w:val="Heading1"/>
    <w:uiPriority w:val="9"/>
    <w:rsid w:val="00CB5D7A"/>
    <w:rPr>
      <w:rFonts w:asciiTheme="majorHAnsi" w:eastAsiaTheme="majorEastAsia" w:hAnsiTheme="majorHAnsi" w:cstheme="majorBidi"/>
      <w:b/>
      <w:bCs/>
      <w:color w:val="365F91" w:themeColor="accent1" w:themeShade="BF"/>
      <w:sz w:val="28"/>
      <w:szCs w:val="28"/>
      <w:lang w:eastAsia="ja-JP"/>
    </w:rPr>
  </w:style>
  <w:style w:type="paragraph" w:styleId="Bibliography">
    <w:name w:val="Bibliography"/>
    <w:basedOn w:val="Normal"/>
    <w:next w:val="Normal"/>
    <w:uiPriority w:val="37"/>
    <w:unhideWhenUsed/>
    <w:rsid w:val="00CB5D7A"/>
  </w:style>
  <w:style w:type="paragraph" w:styleId="TOCHeading">
    <w:name w:val="TOC Heading"/>
    <w:basedOn w:val="Heading1"/>
    <w:next w:val="Normal"/>
    <w:uiPriority w:val="39"/>
    <w:unhideWhenUsed/>
    <w:qFormat/>
    <w:rsid w:val="007C283F"/>
    <w:pPr>
      <w:spacing w:before="240" w:line="259" w:lineRule="auto"/>
      <w:outlineLvl w:val="9"/>
    </w:pPr>
    <w:rPr>
      <w:b w:val="0"/>
      <w:bCs w:val="0"/>
      <w:sz w:val="32"/>
      <w:szCs w:val="32"/>
      <w:lang w:eastAsia="en-US"/>
    </w:rPr>
  </w:style>
  <w:style w:type="paragraph" w:styleId="TOC1">
    <w:name w:val="toc 1"/>
    <w:basedOn w:val="Normal"/>
    <w:next w:val="Normal"/>
    <w:autoRedefine/>
    <w:uiPriority w:val="39"/>
    <w:unhideWhenUsed/>
    <w:rsid w:val="007C283F"/>
    <w:pPr>
      <w:spacing w:after="100"/>
    </w:pPr>
  </w:style>
  <w:style w:type="character" w:styleId="Hyperlink">
    <w:name w:val="Hyperlink"/>
    <w:basedOn w:val="DefaultParagraphFont"/>
    <w:uiPriority w:val="99"/>
    <w:unhideWhenUsed/>
    <w:rsid w:val="007C283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5005734">
      <w:bodyDiv w:val="1"/>
      <w:marLeft w:val="0"/>
      <w:marRight w:val="0"/>
      <w:marTop w:val="0"/>
      <w:marBottom w:val="0"/>
      <w:divBdr>
        <w:top w:val="none" w:sz="0" w:space="0" w:color="auto"/>
        <w:left w:val="none" w:sz="0" w:space="0" w:color="auto"/>
        <w:bottom w:val="none" w:sz="0" w:space="0" w:color="auto"/>
        <w:right w:val="none" w:sz="0" w:space="0" w:color="auto"/>
      </w:divBdr>
    </w:div>
    <w:div w:id="1056314830">
      <w:bodyDiv w:val="1"/>
      <w:marLeft w:val="0"/>
      <w:marRight w:val="0"/>
      <w:marTop w:val="0"/>
      <w:marBottom w:val="0"/>
      <w:divBdr>
        <w:top w:val="none" w:sz="0" w:space="0" w:color="auto"/>
        <w:left w:val="none" w:sz="0" w:space="0" w:color="auto"/>
        <w:bottom w:val="none" w:sz="0" w:space="0" w:color="auto"/>
        <w:right w:val="none" w:sz="0" w:space="0" w:color="auto"/>
      </w:divBdr>
    </w:div>
    <w:div w:id="148650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2015-04-17T00:00:00</PublishDate>
  <Abstract>The various ways in which auditors fall short in their duties and allow companies to steal millions from its investors.</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Sixth Edition">
  <b:Source>
    <b:Tag>Whi05</b:Tag>
    <b:SourceType>InternetSite</b:SourceType>
    <b:Guid>{8558C7FF-39A1-449E-8979-6317CBA0C5BE}</b:Guid>
    <b:Author>
      <b:Author>
        <b:Corporate>White Collar Fraud</b:Corporate>
      </b:Author>
    </b:Author>
    <b:Title>http://www.whitecollarfraud.com/The_Fall_of_Crazy_Eddie.html</b:Title>
    <b:Year>2005</b:Year>
    <b:RefOrder>1</b:RefOrder>
  </b:Source>
  <b:Source>
    <b:Tag>Inm15</b:Tag>
    <b:SourceType>InternetSite</b:SourceType>
    <b:Guid>{4A55C159-14A1-4B46-8C3F-929D17515914}</b:Guid>
    <b:Title>InmateAid.com</b:Title>
    <b:YearAccessed>2015</b:YearAccessed>
    <b:MonthAccessed>April</b:MonthAccessed>
    <b:DayAccessed>11</b:DayAccessed>
    <b:RefOrder>2</b:RefOrder>
  </b:Source>
  <b:Source>
    <b:Tag>Int04</b:Tag>
    <b:SourceType>Book</b:SourceType>
    <b:Guid>{05C76FC3-E5B6-402D-AE5F-0386A2C93F4F}</b:Guid>
    <b:Title>International Directory of Company Histories</b:Title>
    <b:Year>2004</b:Year>
    <b:Publisher>St. James Press</b:Publisher>
    <b:Volume>63</b:Volume>
    <b:RefOrder>3</b:RefOrder>
  </b:Source>
  <b:Source>
    <b:Tag>Ass14</b:Tag>
    <b:SourceType>Report</b:SourceType>
    <b:Guid>{1F74CFCA-76AC-419A-AAB8-57C4CDCD4D95}</b:Guid>
    <b:Title>Report to the Nations on Occupational Fraud and Abuse</b:Title>
    <b:Year>2014</b:Year>
    <b:Author>
      <b:Author>
        <b:Corporate>Association of Certified Fraud Examiners</b:Corporate>
      </b:Author>
    </b:Author>
    <b:RefOrder>4</b:RefOrder>
  </b:Source>
  <b:Source>
    <b:Tag>The11</b:Tag>
    <b:SourceType>InternetSite</b:SourceType>
    <b:Guid>{85397B84-ACDD-40BB-9FF2-6AA61E1E5C31}</b:Guid>
    <b:Title>TheFraudJournal.com</b:Title>
    <b:Year>2011</b:Year>
    <b:Author>
      <b:Author>
        <b:Corporate>The Fraud Journal</b:Corporate>
      </b:Author>
    </b:Author>
    <b:Month>May</b:Month>
    <b:Day>14</b:Day>
    <b:YearAccessed>2015</b:YearAccessed>
    <b:MonthAccessed>April</b:MonthAccessed>
    <b:DayAccessed>9</b:DayAccessed>
    <b:RefOrder>5</b:RefOrder>
  </b:Source>
  <b:Source>
    <b:Tag>Sam09</b:Tag>
    <b:SourceType>Book</b:SourceType>
    <b:Guid>{CE32312E-B32D-424F-852B-BDE0DE215A89}</b:Guid>
    <b:Author>
      <b:Author>
        <b:NameList>
          <b:Person>
            <b:Last>Antar</b:Last>
            <b:First>Sam</b:First>
          </b:Person>
        </b:NameList>
      </b:Author>
    </b:Author>
    <b:Title>The Crazy Eddie Fraud</b:Title>
    <b:Year>2009</b:Year>
    <b:RefOrder>6</b:RefOrder>
  </b:Source>
  <b:Source>
    <b:Tag>Sam14</b:Tag>
    <b:SourceType>InternetSite</b:SourceType>
    <b:Guid>{ED8B846E-444A-44CD-B8B2-D99527CC6F3E}</b:Guid>
    <b:Title>WhiteCollarFraud.com</b:Title>
    <b:Year>2014</b:Year>
    <b:Author>
      <b:Author>
        <b:NameList>
          <b:Person>
            <b:Last>Antar</b:Last>
            <b:First>Sam</b:First>
          </b:Person>
        </b:NameList>
      </b:Author>
    </b:Author>
    <b:RefOrder>7</b:RefOrder>
  </b:Source>
  <b:Source>
    <b:Tag>Kna04</b:Tag>
    <b:SourceType>Book</b:SourceType>
    <b:Guid>{780DF840-7E0D-4C15-87F8-8A62574ACFD4}</b:Guid>
    <b:Title>Contemporary auditing</b:Title>
    <b:Year>2004</b:Year>
    <b:Author>
      <b:Author>
        <b:NameList>
          <b:Person>
            <b:Last>Knapp</b:Last>
            <b:First>Michael</b:First>
          </b:Person>
        </b:NameList>
      </b:Author>
    </b:Author>
    <b:Publisher>Thompson South-Western</b:Publisher>
    <b:Edition>5th Edition</b:Edition>
    <b:RefOrder>8</b:RefOrder>
  </b:Source>
  <b:Source>
    <b:Tag>Mic12</b:Tag>
    <b:SourceType>Book</b:SourceType>
    <b:Guid>{B5ADC1D3-206B-4AFC-8F00-787520874CC5}</b:Guid>
    <b:Title>Contemporary Auditing: Real Issues and Cases</b:Title>
    <b:Year>2012</b:Year>
    <b:Author>
      <b:Author>
        <b:NameList>
          <b:Person>
            <b:Last>Knapp</b:Last>
            <b:First>Michael</b:First>
          </b:Person>
        </b:NameList>
      </b:Author>
    </b:Author>
    <b:Publisher>Cengage Learning</b:Publisher>
    <b:Edition>9th</b:Edition>
    <b:RefOrder>9</b:RefOrder>
  </b:Source>
  <b:Source>
    <b:Tag>Sha</b:Tag>
    <b:SourceType>DocumentFromInternetSite</b:SourceType>
    <b:Guid>{2759FF78-02E1-47FD-988C-75FCE02373C8}</b:Guid>
    <b:Title>Auditing Standards for Private Companies</b:Title>
    <b:Author>
      <b:Author>
        <b:NameList>
          <b:Person>
            <b:Last>Shaftoe</b:Last>
            <b:First>Robert</b:First>
          </b:Person>
        </b:NameList>
      </b:Author>
    </b:Author>
    <b:InternetSiteTitle>Smallbusiness.Chron.com</b:InternetSiteTitle>
    <b:RefOrder>10</b:RefOrder>
  </b:Source>
  <b:Source>
    <b:Tag>She12</b:Tag>
    <b:SourceType>DocumentFromInternetSite</b:SourceType>
    <b:Guid>{6D8CAED2-043C-4A06-8A0E-A701871840B6}</b:Guid>
    <b:Title>The long and wild Crazy Eddie investor fraud case nears the end</b:Title>
    <b:Year>2012</b:Year>
    <b:Author>
      <b:Author>
        <b:NameList>
          <b:Person>
            <b:Last>Sherman</b:Last>
            <b:First>Ted</b:First>
          </b:Person>
        </b:NameList>
      </b:Author>
    </b:Author>
    <b:Month>March</b:Month>
    <b:Day>04</b:Day>
    <b:InternetSiteTitle>NJ.com</b:InternetSiteTitle>
    <b:RefOrder>11</b:RefOrder>
  </b:Source>
  <b:Source>
    <b:Tag>SOX</b:Tag>
    <b:SourceType>InternetSite</b:SourceType>
    <b:Guid>{01A284A2-01C4-4BC9-906A-8DE97B514F82}</b:Guid>
    <b:Author>
      <b:Author>
        <b:Corporate>SOXCPA</b:Corporate>
      </b:Author>
    </b:Author>
    <b:Title>The Sarbanes Oxley Act</b:Title>
    <b:InternetSiteTitle>WWW.Sarbanes-Oxley-Act.biz</b:InternetSiteTitle>
    <b:URL>http://www.sarbanes-oxley-act.biz/SarbanesOxleyAct.htm</b:URL>
    <b:RefOrder>12</b:RefOrder>
  </b:Source>
  <b:Source>
    <b:Tag>For</b:Tag>
    <b:SourceType>InternetSite</b:SourceType>
    <b:Guid>{B8236029-91C3-436B-8C56-1E170CDF768C}</b:Guid>
    <b:Author>
      <b:Author>
        <b:Corporate>Forbes</b:Corporate>
      </b:Author>
    </b:Author>
    <b:Title>The 10 Biggest Frauds in Recent US History</b:Title>
    <b:InternetSiteTitle>Forbes.com</b:InternetSiteTitle>
    <b:URL>http://www.forbes.com/pictures/eelg45gkdi/5-mf-global-3/</b:URL>
    <b:RefOrder>13</b:RefOrder>
  </b:Source>
  <b:Source>
    <b:Tag>Dan12</b:Tag>
    <b:SourceType>InternetSite</b:SourceType>
    <b:Guid>{D79AF871-E431-469F-A023-A945F5B38246}</b:Guid>
    <b:Author>
      <b:Author>
        <b:NameList>
          <b:Person>
            <b:Last>Collins</b:Last>
            <b:First>Daniel</b:First>
            <b:Middle>P.</b:Middle>
          </b:Person>
        </b:NameList>
      </b:Author>
    </b:Author>
    <b:Title>Futuresmag.com</b:Title>
    <b:InternetSiteTitle>Evidence of Fraud at MF Global</b:InternetSiteTitle>
    <b:Year>2012</b:Year>
    <b:Month>April</b:Month>
    <b:Day>2</b:Day>
    <b:URL>http://www.futuresmag.com/2012/04/02/evidence-of-fraud-at-mf-global</b:URL>
    <b:RefOrder>14</b:RefOrder>
  </b:Source>
  <b:Source>
    <b:Tag>Bob13</b:Tag>
    <b:SourceType>InternetSite</b:SourceType>
    <b:Guid>{6144151E-9D51-4042-9F8E-2E2EA1A1E03A}</b:Guid>
    <b:Author>
      <b:Author>
        <b:NameList>
          <b:Person>
            <b:Last>Adelmann</b:Last>
            <b:First>Bob</b:First>
          </b:Person>
        </b:NameList>
      </b:Author>
    </b:Author>
    <b:Title>Former MF Global Head Jon Corzine Sued for Theft of Customer Funds</b:Title>
    <b:InternetSiteTitle>The New American</b:InternetSiteTitle>
    <b:Year>2013</b:Year>
    <b:Month>July</b:Month>
    <b:Day>5</b:Day>
    <b:URL>http://www.thenewamerican.com/usnews/crime/item/15903-former-mf-global-head-jon-corzine-sued-for-theft-of-customer-funds</b:URL>
    <b:RefOrder>15</b:RefOrder>
  </b:Source>
  <b:Source>
    <b:Tag>Bob14</b:Tag>
    <b:SourceType>InternetSite</b:SourceType>
    <b:Guid>{74AB4BB3-BF05-420F-A388-8E694298E107}</b:Guid>
    <b:Author>
      <b:Author>
        <b:NameList>
          <b:Person>
            <b:Last>Voris</b:Last>
            <b:First>Bob</b:First>
            <b:Middle>Van</b:Middle>
          </b:Person>
        </b:NameList>
      </b:Author>
    </b:Author>
    <b:Title>MF Global Sues PricewaterhouseCoopers Over Its Accounting</b:Title>
    <b:InternetSiteTitle>BloombergBusiness.com</b:InternetSiteTitle>
    <b:Year>2014</b:Year>
    <b:Month>March</b:Month>
    <b:Day>29</b:Day>
    <b:URL>http://www.bloomberg.com/news/articles/2014-03-28/mf-global-sues-pricewaterhousecoopers-over-its-accounting</b:URL>
    <b:RefOrder>16</b:RefOrder>
  </b:Source>
  <b:Source>
    <b:Tag>Mic15</b:Tag>
    <b:SourceType>InternetSite</b:SourceType>
    <b:Guid>{15732D0B-FBBB-4103-BB4F-9908F72CE982}</b:Guid>
    <b:Author>
      <b:Author>
        <b:NameList>
          <b:Person>
            <b:Last>Cohn</b:Last>
            <b:First>Michael</b:First>
          </b:Person>
        </b:NameList>
      </b:Author>
    </b:Author>
    <b:Title>PwC Settles MF Global Lawsuit for $65 Million</b:Title>
    <b:InternetSiteTitle>AccountingToday.com</b:InternetSiteTitle>
    <b:Year>2015</b:Year>
    <b:Month>April</b:Month>
    <b:Day>20</b:Day>
    <b:RefOrder>17</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94A3DD-B417-474A-9926-3E5E7F6C50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4530</Words>
  <Characters>25827</Characters>
  <Application>Microsoft Macintosh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The Problems that Allow Fraud to Occur</vt:lpstr>
    </vt:vector>
  </TitlesOfParts>
  <Company>Salem State University</Company>
  <LinksUpToDate>false</LinksUpToDate>
  <CharactersWithSpaces>30297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Problems that Allow Fraud to Occur</dc:title>
  <dc:creator>Jameel Khader</dc:creator>
  <cp:lastModifiedBy>SSU Archives</cp:lastModifiedBy>
  <cp:revision>2</cp:revision>
  <dcterms:created xsi:type="dcterms:W3CDTF">2015-09-03T16:59:00Z</dcterms:created>
  <dcterms:modified xsi:type="dcterms:W3CDTF">2015-09-03T16:59:00Z</dcterms:modified>
</cp:coreProperties>
</file>