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80F6B" w14:textId="77750CD3" w:rsidR="000D7381" w:rsidRPr="00C66447" w:rsidRDefault="000D7381" w:rsidP="000D7381">
      <w:pPr>
        <w:rPr>
          <w:rFonts w:cstheme="minorHAnsi"/>
          <w:b/>
          <w:bCs/>
          <w:sz w:val="24"/>
          <w:szCs w:val="24"/>
        </w:rPr>
      </w:pPr>
      <w:r w:rsidRPr="00C66447">
        <w:rPr>
          <w:rFonts w:cstheme="minorHAnsi"/>
          <w:b/>
          <w:sz w:val="24"/>
          <w:szCs w:val="24"/>
        </w:rPr>
        <w:t>Un acto de desesperación y el juicio que conmovió al mundo</w:t>
      </w:r>
    </w:p>
    <w:p w14:paraId="220244EF" w14:textId="6E7520BC" w:rsidR="00CD7441" w:rsidRPr="00C66447" w:rsidRDefault="000D7381" w:rsidP="000D7381">
      <w:pPr>
        <w:rPr>
          <w:rFonts w:cstheme="minorHAnsi"/>
          <w:sz w:val="24"/>
          <w:szCs w:val="24"/>
        </w:rPr>
      </w:pPr>
      <w:r w:rsidRPr="00C66447">
        <w:rPr>
          <w:rFonts w:cstheme="minorHAnsi"/>
          <w:sz w:val="24"/>
          <w:szCs w:val="24"/>
        </w:rPr>
        <w:t>A fines de la década de 1960, las visitas a sitios olvidados de las masacres del Holocausto les dieron a los judíos soviéticos la oportunidad de conocer sus tradiciones, escuchar la información más reciente sobre los refuseniks</w:t>
      </w:r>
      <w:r w:rsidRPr="00C66447">
        <w:rPr>
          <w:rFonts w:cstheme="minorHAnsi"/>
          <w:i/>
          <w:sz w:val="24"/>
          <w:szCs w:val="24"/>
        </w:rPr>
        <w:t xml:space="preserve"> </w:t>
      </w:r>
      <w:r w:rsidRPr="00C66447">
        <w:rPr>
          <w:rFonts w:cstheme="minorHAnsi"/>
          <w:sz w:val="24"/>
          <w:szCs w:val="24"/>
        </w:rPr>
        <w:t xml:space="preserve">y los disidentes, y compartir estrategias sobre cómo salir de la Unión Soviética. Después de muchos rechazos, un grupo de unos 16 jóvenes sionistas de Riga, liderados por Eduard Kuznetsov y su esposa, Sylva Zalmanson, idearon un plan para conseguir un avión y salir del país. Planeaban comprar todos los boletos de un pequeño avión Antonov An-2 de 12 plazas, subyugar a los pilotos y atravesar la corta distancia que separa el aeropuerto de Smolny (Rzhevka), cerca de Leningrado, de Suecia. Mark Dymshits, un expiloto soviético, fue el encargado de volar el avión a salvo. Una vez en Suecia, el grupo planeaba tomar un avión a Israel. </w:t>
      </w:r>
    </w:p>
    <w:p w14:paraId="17BFE583" w14:textId="195AFE49" w:rsidR="000D7381" w:rsidRPr="00C66447" w:rsidRDefault="00CD7441" w:rsidP="000D7381">
      <w:pPr>
        <w:rPr>
          <w:rFonts w:cstheme="minorHAnsi"/>
          <w:sz w:val="24"/>
          <w:szCs w:val="24"/>
        </w:rPr>
      </w:pPr>
      <w:r w:rsidRPr="00C66447">
        <w:rPr>
          <w:rFonts w:cstheme="minorHAnsi"/>
          <w:sz w:val="24"/>
          <w:szCs w:val="24"/>
        </w:rPr>
        <w:t xml:space="preserve">El día acordado, en julio de 1970, el grupo se reunió en el bosque vecino de Priozersk antes de partir hacia el aeropuerto de Smolny. Cuando se dieron cuenta de que su equipaje había sido registrado en el aeropuerto, empezaron a sospechar que el KGB iba tras ellos y que su plan pronto se vería frustrado. Efectivamente, el grupo fue detenido poco después, el 14 de julio de 1970, y enviado al cuartel general del KGB en Leningrado. </w:t>
      </w:r>
    </w:p>
    <w:p w14:paraId="23A82B56" w14:textId="4307B2F0" w:rsidR="00154222" w:rsidRPr="00C66447" w:rsidRDefault="00CB5BD3" w:rsidP="00154222">
      <w:pPr>
        <w:rPr>
          <w:rFonts w:cstheme="minorHAnsi"/>
          <w:sz w:val="24"/>
          <w:szCs w:val="24"/>
        </w:rPr>
      </w:pPr>
      <w:r w:rsidRPr="00C66447">
        <w:rPr>
          <w:rFonts w:cstheme="minorHAnsi"/>
          <w:sz w:val="24"/>
          <w:szCs w:val="24"/>
        </w:rPr>
        <w:t xml:space="preserve">El 15 de diciembre de 1970, los supuestos “secuestradores” fueron juzgados por traición en el primer juicio de Leningrado. Eduard </w:t>
      </w:r>
      <w:bookmarkStart w:id="0" w:name="_Hlk109285598"/>
      <w:r w:rsidRPr="00C66447">
        <w:rPr>
          <w:rFonts w:cstheme="minorHAnsi"/>
          <w:sz w:val="24"/>
          <w:szCs w:val="24"/>
        </w:rPr>
        <w:t xml:space="preserve">Kuznetsov y Mark Dymshits </w:t>
      </w:r>
      <w:bookmarkEnd w:id="0"/>
      <w:r w:rsidRPr="00C66447">
        <w:rPr>
          <w:rFonts w:cstheme="minorHAnsi"/>
          <w:sz w:val="24"/>
          <w:szCs w:val="24"/>
        </w:rPr>
        <w:t>fueron condenados a muerte (posteriormente conmutada por largas penas de prisión), mientras que Sylva Zalmanson fue condenada a 12 años de prisión. El resto de los acusados recibió sentencias de entre 4 y 15 años de prisión cada uno. Los juicios posteriores en Leningrado, Riga y Kishinev pusieron aún más de relieve la difícil situación de los refuseniks</w:t>
      </w:r>
      <w:r w:rsidRPr="00C66447">
        <w:rPr>
          <w:rFonts w:cstheme="minorHAnsi"/>
          <w:i/>
          <w:sz w:val="24"/>
          <w:szCs w:val="24"/>
        </w:rPr>
        <w:t xml:space="preserve"> </w:t>
      </w:r>
      <w:r w:rsidRPr="00C66447">
        <w:rPr>
          <w:rFonts w:cstheme="minorHAnsi"/>
          <w:sz w:val="24"/>
          <w:szCs w:val="24"/>
        </w:rPr>
        <w:t xml:space="preserve">y de los judíos soviéticos en general. En lugar de contener el deseo de emigrar de los judíos, los juicios alentaron a más personas a solicitar visados de salida. Mientras tanto, las duras sentencias despertaron una protesta internacional y una campaña de derechos humanos en favor de los judíos soviéticos, que continuó ejerciendo presión sobre el gobierno soviético durante las décadas de 1970 y 1980.   </w:t>
      </w:r>
    </w:p>
    <w:p w14:paraId="3FE5ABF4" w14:textId="77777777" w:rsidR="00B1295B" w:rsidRPr="00C66447" w:rsidRDefault="00B1295B" w:rsidP="00154222">
      <w:pPr>
        <w:rPr>
          <w:rFonts w:cstheme="minorHAnsi"/>
          <w:sz w:val="24"/>
          <w:szCs w:val="24"/>
          <w:lang w:bidi="he-IL"/>
        </w:rPr>
      </w:pPr>
    </w:p>
    <w:p w14:paraId="7E6E36BC" w14:textId="44FD0042" w:rsidR="00E56A6A" w:rsidRPr="00C66447" w:rsidRDefault="00E56A6A">
      <w:pPr>
        <w:rPr>
          <w:rFonts w:cstheme="minorHAnsi"/>
          <w:sz w:val="24"/>
          <w:szCs w:val="24"/>
        </w:rPr>
      </w:pPr>
    </w:p>
    <w:p w14:paraId="330298A4" w14:textId="49F8593C" w:rsidR="00AB35E2" w:rsidRPr="00C66447" w:rsidRDefault="00AB35E2">
      <w:pPr>
        <w:rPr>
          <w:rFonts w:cstheme="minorHAnsi"/>
          <w:b/>
          <w:bCs/>
          <w:sz w:val="24"/>
          <w:szCs w:val="24"/>
        </w:rPr>
      </w:pPr>
      <w:r w:rsidRPr="00C66447">
        <w:rPr>
          <w:rFonts w:cstheme="minorHAnsi"/>
          <w:b/>
          <w:sz w:val="24"/>
          <w:szCs w:val="24"/>
        </w:rPr>
        <w:t xml:space="preserve">PIE DE FOTO: </w:t>
      </w:r>
      <w:r w:rsidRPr="00C66447">
        <w:rPr>
          <w:rFonts w:cstheme="minorHAnsi"/>
          <w:sz w:val="24"/>
          <w:szCs w:val="24"/>
        </w:rPr>
        <w:t>Este cartel forma parte de una serie encargada por el movimiento estudiantil Student Struggle for Soviet Jewry para dar a conocer la difícil situación de los presos de conciencia en la Unión Soviética. (Cortesía de la Biblioteca del Congreso</w:t>
      </w:r>
      <w:r w:rsidR="00C66447">
        <w:rPr>
          <w:rFonts w:cstheme="minorHAnsi"/>
          <w:sz w:val="24"/>
          <w:szCs w:val="24"/>
        </w:rPr>
        <w:t>.</w:t>
      </w:r>
      <w:r w:rsidRPr="00C66447">
        <w:rPr>
          <w:rFonts w:cstheme="minorHAnsi"/>
          <w:sz w:val="24"/>
          <w:szCs w:val="24"/>
        </w:rPr>
        <w:t>)</w:t>
      </w:r>
    </w:p>
    <w:p w14:paraId="01F7ADBF" w14:textId="1587C387" w:rsidR="000D157B" w:rsidRPr="00C66447" w:rsidRDefault="000D157B">
      <w:pPr>
        <w:rPr>
          <w:rFonts w:cstheme="minorHAnsi"/>
          <w:sz w:val="24"/>
          <w:szCs w:val="24"/>
        </w:rPr>
      </w:pPr>
    </w:p>
    <w:p w14:paraId="72F92A2C" w14:textId="03B44645" w:rsidR="00E56A6A" w:rsidRPr="00C66447" w:rsidRDefault="000D157B">
      <w:pPr>
        <w:rPr>
          <w:rFonts w:cstheme="minorHAnsi"/>
          <w:sz w:val="24"/>
          <w:szCs w:val="24"/>
        </w:rPr>
      </w:pPr>
      <w:r w:rsidRPr="00C66447">
        <w:rPr>
          <w:rFonts w:cstheme="minorHAnsi"/>
          <w:b/>
          <w:sz w:val="24"/>
          <w:szCs w:val="24"/>
        </w:rPr>
        <w:t xml:space="preserve">PIE DE FOTO: </w:t>
      </w:r>
      <w:r w:rsidRPr="00C66447">
        <w:rPr>
          <w:rFonts w:cstheme="minorHAnsi"/>
          <w:sz w:val="24"/>
          <w:szCs w:val="24"/>
        </w:rPr>
        <w:t>Este folleto, creado por Action for Soviet Jewry, describe algunas de las actividades por las que los judíos de la Unión Soviética podrían haber sido acosados y detenidos en la década de 1970. “Presos de conciencia” se refiere a aquellas personas que fueron encarceladas por su oposición al gobierno. Los presos de conciencia sionistas</w:t>
      </w:r>
      <w:r w:rsidRPr="00C66447">
        <w:rPr>
          <w:rFonts w:cstheme="minorHAnsi"/>
          <w:i/>
          <w:sz w:val="24"/>
          <w:szCs w:val="24"/>
        </w:rPr>
        <w:t xml:space="preserve"> </w:t>
      </w:r>
      <w:r w:rsidRPr="00C66447">
        <w:rPr>
          <w:rFonts w:cstheme="minorHAnsi"/>
          <w:sz w:val="24"/>
          <w:szCs w:val="24"/>
        </w:rPr>
        <w:t xml:space="preserve">también eran </w:t>
      </w:r>
      <w:r w:rsidRPr="00C66447">
        <w:rPr>
          <w:rFonts w:cstheme="minorHAnsi"/>
          <w:sz w:val="24"/>
          <w:szCs w:val="24"/>
        </w:rPr>
        <w:lastRenderedPageBreak/>
        <w:t>conocidos como presos de Sión (</w:t>
      </w:r>
      <w:r w:rsidRPr="00C66447">
        <w:rPr>
          <w:rFonts w:cstheme="minorHAnsi"/>
          <w:i/>
          <w:sz w:val="24"/>
          <w:szCs w:val="24"/>
        </w:rPr>
        <w:t>Asiri Zion</w:t>
      </w:r>
      <w:r w:rsidRPr="00C66447">
        <w:rPr>
          <w:rFonts w:cstheme="minorHAnsi"/>
          <w:sz w:val="24"/>
          <w:szCs w:val="24"/>
        </w:rPr>
        <w:t xml:space="preserve"> en hebreo). (Cortesía del Wyner Family Jewish Heritage Center de la NEHGS</w:t>
      </w:r>
      <w:r w:rsidR="00C66447">
        <w:rPr>
          <w:rFonts w:cstheme="minorHAnsi"/>
          <w:sz w:val="24"/>
          <w:szCs w:val="24"/>
        </w:rPr>
        <w:t>.</w:t>
      </w:r>
      <w:r w:rsidRPr="00C66447">
        <w:rPr>
          <w:rFonts w:cstheme="minorHAnsi"/>
          <w:sz w:val="24"/>
          <w:szCs w:val="24"/>
        </w:rPr>
        <w:t>)</w:t>
      </w:r>
    </w:p>
    <w:sectPr w:rsidR="00E56A6A" w:rsidRPr="00C6644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D8624" w14:textId="77777777" w:rsidR="00887E9A" w:rsidRDefault="00887E9A" w:rsidP="000D7381">
      <w:pPr>
        <w:spacing w:after="0" w:line="240" w:lineRule="auto"/>
      </w:pPr>
      <w:r>
        <w:separator/>
      </w:r>
    </w:p>
  </w:endnote>
  <w:endnote w:type="continuationSeparator" w:id="0">
    <w:p w14:paraId="063732D4" w14:textId="77777777" w:rsidR="00887E9A" w:rsidRDefault="00887E9A" w:rsidP="000D7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4AA68" w14:textId="77777777" w:rsidR="00887E9A" w:rsidRDefault="00887E9A" w:rsidP="000D7381">
      <w:pPr>
        <w:spacing w:after="0" w:line="240" w:lineRule="auto"/>
      </w:pPr>
      <w:r>
        <w:separator/>
      </w:r>
    </w:p>
  </w:footnote>
  <w:footnote w:type="continuationSeparator" w:id="0">
    <w:p w14:paraId="63DD8A3A" w14:textId="77777777" w:rsidR="00887E9A" w:rsidRDefault="00887E9A" w:rsidP="000D738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381"/>
    <w:rsid w:val="00011DD0"/>
    <w:rsid w:val="0003689E"/>
    <w:rsid w:val="000A5CBE"/>
    <w:rsid w:val="000D157B"/>
    <w:rsid w:val="000D7381"/>
    <w:rsid w:val="00154222"/>
    <w:rsid w:val="00161BAA"/>
    <w:rsid w:val="001669B7"/>
    <w:rsid w:val="0017068B"/>
    <w:rsid w:val="001913B8"/>
    <w:rsid w:val="001921AD"/>
    <w:rsid w:val="001931DA"/>
    <w:rsid w:val="001D5546"/>
    <w:rsid w:val="002D6887"/>
    <w:rsid w:val="00304012"/>
    <w:rsid w:val="003D5740"/>
    <w:rsid w:val="003D79FE"/>
    <w:rsid w:val="004A09AF"/>
    <w:rsid w:val="004A1EC8"/>
    <w:rsid w:val="004A4A45"/>
    <w:rsid w:val="00540472"/>
    <w:rsid w:val="00552140"/>
    <w:rsid w:val="00607DC1"/>
    <w:rsid w:val="006A5D78"/>
    <w:rsid w:val="00755A00"/>
    <w:rsid w:val="007D2C7E"/>
    <w:rsid w:val="00887E9A"/>
    <w:rsid w:val="008B0D3D"/>
    <w:rsid w:val="00910A54"/>
    <w:rsid w:val="00922529"/>
    <w:rsid w:val="00997C74"/>
    <w:rsid w:val="009E49A7"/>
    <w:rsid w:val="009E5FC6"/>
    <w:rsid w:val="00A05A1A"/>
    <w:rsid w:val="00AA4B00"/>
    <w:rsid w:val="00AA4E64"/>
    <w:rsid w:val="00AB35E2"/>
    <w:rsid w:val="00B1295B"/>
    <w:rsid w:val="00B274E0"/>
    <w:rsid w:val="00B86D6B"/>
    <w:rsid w:val="00C21C7E"/>
    <w:rsid w:val="00C2217A"/>
    <w:rsid w:val="00C30DA9"/>
    <w:rsid w:val="00C66447"/>
    <w:rsid w:val="00CB09EE"/>
    <w:rsid w:val="00CB5BD3"/>
    <w:rsid w:val="00CC3DA7"/>
    <w:rsid w:val="00CD7441"/>
    <w:rsid w:val="00E56A6A"/>
    <w:rsid w:val="00E85F10"/>
    <w:rsid w:val="00EC0279"/>
    <w:rsid w:val="00EF4423"/>
    <w:rsid w:val="00F6210F"/>
    <w:rsid w:val="00F75ED0"/>
    <w:rsid w:val="00F95A44"/>
    <w:rsid w:val="00FF6B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8429E"/>
  <w15:chartTrackingRefBased/>
  <w15:docId w15:val="{924FC850-E57A-4E4E-81E1-CBBE6865B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73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D73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7381"/>
    <w:rPr>
      <w:sz w:val="20"/>
      <w:szCs w:val="20"/>
    </w:rPr>
  </w:style>
  <w:style w:type="character" w:styleId="FootnoteReference">
    <w:name w:val="footnote reference"/>
    <w:basedOn w:val="DefaultParagraphFont"/>
    <w:uiPriority w:val="99"/>
    <w:semiHidden/>
    <w:unhideWhenUsed/>
    <w:rsid w:val="000D7381"/>
    <w:rPr>
      <w:vertAlign w:val="superscript"/>
    </w:rPr>
  </w:style>
  <w:style w:type="character" w:styleId="CommentReference">
    <w:name w:val="annotation reference"/>
    <w:basedOn w:val="DefaultParagraphFont"/>
    <w:uiPriority w:val="99"/>
    <w:semiHidden/>
    <w:unhideWhenUsed/>
    <w:rsid w:val="00CB5BD3"/>
    <w:rPr>
      <w:sz w:val="16"/>
      <w:szCs w:val="16"/>
    </w:rPr>
  </w:style>
  <w:style w:type="paragraph" w:styleId="CommentText">
    <w:name w:val="annotation text"/>
    <w:basedOn w:val="Normal"/>
    <w:link w:val="CommentTextChar"/>
    <w:uiPriority w:val="99"/>
    <w:unhideWhenUsed/>
    <w:rsid w:val="00CB5BD3"/>
    <w:pPr>
      <w:spacing w:line="240" w:lineRule="auto"/>
    </w:pPr>
    <w:rPr>
      <w:sz w:val="20"/>
      <w:szCs w:val="20"/>
    </w:rPr>
  </w:style>
  <w:style w:type="character" w:customStyle="1" w:styleId="CommentTextChar">
    <w:name w:val="Comment Text Char"/>
    <w:basedOn w:val="DefaultParagraphFont"/>
    <w:link w:val="CommentText"/>
    <w:uiPriority w:val="99"/>
    <w:rsid w:val="00CB5BD3"/>
    <w:rPr>
      <w:sz w:val="20"/>
      <w:szCs w:val="20"/>
    </w:rPr>
  </w:style>
  <w:style w:type="paragraph" w:styleId="CommentSubject">
    <w:name w:val="annotation subject"/>
    <w:basedOn w:val="CommentText"/>
    <w:next w:val="CommentText"/>
    <w:link w:val="CommentSubjectChar"/>
    <w:uiPriority w:val="99"/>
    <w:semiHidden/>
    <w:unhideWhenUsed/>
    <w:rsid w:val="00CB5BD3"/>
    <w:rPr>
      <w:b/>
      <w:bCs/>
    </w:rPr>
  </w:style>
  <w:style w:type="character" w:customStyle="1" w:styleId="CommentSubjectChar">
    <w:name w:val="Comment Subject Char"/>
    <w:basedOn w:val="CommentTextChar"/>
    <w:link w:val="CommentSubject"/>
    <w:uiPriority w:val="99"/>
    <w:semiHidden/>
    <w:rsid w:val="00CB5BD3"/>
    <w:rPr>
      <w:b/>
      <w:bCs/>
      <w:sz w:val="20"/>
      <w:szCs w:val="20"/>
    </w:rPr>
  </w:style>
  <w:style w:type="paragraph" w:styleId="Revision">
    <w:name w:val="Revision"/>
    <w:hidden/>
    <w:uiPriority w:val="99"/>
    <w:semiHidden/>
    <w:rsid w:val="004A4A4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2566</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2023-09-08T19:22:00Z</dcterms:created>
  <dcterms:modified xsi:type="dcterms:W3CDTF">2023-09-08T19:22:00Z</dcterms:modified>
</cp:coreProperties>
</file>